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pPr>
      <w:r>
        <w:rPr>
          <w:rFonts w:ascii="黑体" w:hAnsi="黑体" w:eastAsia="黑体" w:cs="黑体"/>
          <w:b/>
          <w:color w:val="000000"/>
          <w:sz w:val="44"/>
        </w:rPr>
        <w:t>2022年部门预算信息公开目录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ascii="黑体" w:hAnsi="黑体" w:eastAsia="黑体" w:cs="黑体"/>
          <w:b/>
          <w:color w:val="000000"/>
          <w:sz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ascii="黑体" w:hAnsi="黑体" w:eastAsia="黑体" w:cs="黑体"/>
          <w:b/>
          <w:color w:val="000000"/>
          <w:sz w:val="30"/>
        </w:rPr>
        <w:t>第一部分  部门预算</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ascii="方正楷体_GBK" w:hAnsi="方正楷体_GBK" w:eastAsia="方正楷体_GBK" w:cs="方正楷体_GBK"/>
          <w:b/>
          <w:color w:val="000000"/>
          <w:sz w:val="28"/>
        </w:rPr>
        <w:t>部门预算公开表</w:t>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pPr>
      <w: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ascii="方正楷体_GBK" w:hAnsi="方正楷体_GBK" w:eastAsia="方正楷体_GBK" w:cs="方正楷体_GBK"/>
          <w:b/>
          <w:color w:val="000000"/>
          <w:sz w:val="28"/>
        </w:rPr>
        <w:t>部门预算信息公开情况说明</w:t>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val="en-US" w:eastAsia="zh-CN"/>
        </w:rPr>
        <w:t>4</w:t>
      </w:r>
      <w:r>
        <w:fldChar w:fldCharType="end"/>
      </w:r>
      <w:r>
        <w:fldChar w:fldCharType="end"/>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5</w:t>
      </w:r>
    </w:p>
    <w:p>
      <w:pPr>
        <w:pStyle w:val="4"/>
        <w:keepNext w:val="0"/>
        <w:keepLines w:val="0"/>
        <w:pageBreakBefore w:val="0"/>
        <w:widowControl w:val="0"/>
        <w:tabs>
          <w:tab w:val="right" w:leader="dot" w:pos="14562"/>
        </w:tabs>
        <w:kinsoku/>
        <w:wordWrap/>
        <w:overflowPunct/>
        <w:topLinePunct w:val="0"/>
        <w:autoSpaceDE/>
        <w:autoSpaceDN/>
        <w:bidi w:val="0"/>
        <w:adjustRightInd/>
        <w:snapToGrid/>
        <w:spacing w:line="560" w:lineRule="exact"/>
        <w:textAlignment w:val="auto"/>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rPr>
          <w:rFonts w:hint="eastAsia"/>
          <w:lang w:val="en-US" w:eastAsia="zh-CN"/>
        </w:rPr>
        <w:t>6</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pPr>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6" w:type="dxa"/>
            <w:vAlign w:val="center"/>
          </w:tcPr>
          <w:p>
            <w:pPr>
              <w:pStyle w:val="10"/>
            </w:pPr>
            <w:r>
              <w:t>一、一般公共预算拨款收入</w:t>
            </w:r>
          </w:p>
        </w:tc>
        <w:tc>
          <w:tcPr>
            <w:tcW w:w="2126" w:type="dxa"/>
            <w:vAlign w:val="center"/>
          </w:tcPr>
          <w:p>
            <w:pPr>
              <w:pStyle w:val="11"/>
            </w:pPr>
            <w:r>
              <w:t>3510.30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6"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6"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6"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rPr>
                <w:rFonts w:hint="default" w:eastAsia="方正书宋_GBK"/>
                <w:lang w:val="en-US" w:eastAsia="zh-CN"/>
              </w:rPr>
            </w:pPr>
            <w:r>
              <w:rPr>
                <w:rFonts w:hint="eastAsia"/>
                <w:lang w:val="en-US" w:eastAsia="zh-CN"/>
              </w:rPr>
              <w:t>3628.30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6"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6"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6"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6"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6"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6"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6" w:type="dxa"/>
            <w:vAlign w:val="center"/>
          </w:tcPr>
          <w:p>
            <w:pPr>
              <w:pStyle w:val="12"/>
            </w:pPr>
            <w:r>
              <w:t>本年收入合计</w:t>
            </w:r>
          </w:p>
        </w:tc>
        <w:tc>
          <w:tcPr>
            <w:tcW w:w="2126" w:type="dxa"/>
            <w:vAlign w:val="center"/>
          </w:tcPr>
          <w:p>
            <w:pPr>
              <w:pStyle w:val="13"/>
            </w:pPr>
            <w:r>
              <w:t>3510.30</w:t>
            </w:r>
          </w:p>
        </w:tc>
        <w:tc>
          <w:tcPr>
            <w:tcW w:w="4535" w:type="dxa"/>
            <w:vAlign w:val="center"/>
          </w:tcPr>
          <w:p>
            <w:pPr>
              <w:pStyle w:val="12"/>
            </w:pPr>
            <w:r>
              <w:t>本年支出合计</w:t>
            </w:r>
          </w:p>
        </w:tc>
        <w:tc>
          <w:tcPr>
            <w:tcW w:w="2126" w:type="dxa"/>
            <w:vAlign w:val="center"/>
          </w:tcPr>
          <w:p>
            <w:pPr>
              <w:pStyle w:val="13"/>
              <w:rPr>
                <w:rFonts w:hint="default" w:eastAsia="方正书宋_GBK"/>
                <w:lang w:val="en-US" w:eastAsia="zh-CN"/>
              </w:rPr>
            </w:pPr>
            <w:r>
              <w:t>36</w:t>
            </w:r>
            <w:r>
              <w:rPr>
                <w:rFonts w:hint="eastAsia"/>
                <w:lang w:val="en-US" w:eastAsia="zh-CN"/>
              </w:rPr>
              <w:t>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6" w:type="dxa"/>
            <w:vAlign w:val="center"/>
          </w:tcPr>
          <w:p>
            <w:pPr>
              <w:pStyle w:val="10"/>
            </w:pPr>
            <w:r>
              <w:t>上年结转结余</w:t>
            </w:r>
          </w:p>
        </w:tc>
        <w:tc>
          <w:tcPr>
            <w:tcW w:w="2126" w:type="dxa"/>
            <w:vAlign w:val="center"/>
          </w:tcPr>
          <w:p>
            <w:pPr>
              <w:pStyle w:val="11"/>
              <w:rPr>
                <w:rFonts w:hint="default" w:eastAsia="方正书宋_GBK"/>
                <w:lang w:val="en-US" w:eastAsia="zh-CN"/>
              </w:rPr>
            </w:pPr>
            <w:r>
              <w:rPr>
                <w:rFonts w:hint="eastAsia"/>
                <w:lang w:val="en-US" w:eastAsia="zh-CN"/>
              </w:rPr>
              <w:t>118.00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6" w:type="dxa"/>
            <w:vAlign w:val="center"/>
          </w:tcPr>
          <w:p>
            <w:pPr>
              <w:pStyle w:val="12"/>
            </w:pPr>
            <w:r>
              <w:t>收入总计</w:t>
            </w:r>
          </w:p>
        </w:tc>
        <w:tc>
          <w:tcPr>
            <w:tcW w:w="2126" w:type="dxa"/>
            <w:vAlign w:val="center"/>
          </w:tcPr>
          <w:p>
            <w:pPr>
              <w:pStyle w:val="13"/>
            </w:pPr>
            <w:r>
              <w:rPr>
                <w:rFonts w:hint="eastAsia"/>
                <w:lang w:val="en-US" w:eastAsia="zh-CN"/>
              </w:rPr>
              <w:t>3628.</w:t>
            </w:r>
            <w:r>
              <w:t>30</w:t>
            </w:r>
          </w:p>
        </w:tc>
        <w:tc>
          <w:tcPr>
            <w:tcW w:w="4535" w:type="dxa"/>
            <w:vAlign w:val="center"/>
          </w:tcPr>
          <w:p>
            <w:pPr>
              <w:pStyle w:val="12"/>
            </w:pPr>
            <w:r>
              <w:t>支出总计</w:t>
            </w:r>
          </w:p>
        </w:tc>
        <w:tc>
          <w:tcPr>
            <w:tcW w:w="2126" w:type="dxa"/>
            <w:vAlign w:val="center"/>
          </w:tcPr>
          <w:p>
            <w:pPr>
              <w:pStyle w:val="13"/>
              <w:rPr>
                <w:rFonts w:hint="default" w:eastAsia="方正书宋_GBK"/>
                <w:lang w:val="en-US" w:eastAsia="zh-CN"/>
              </w:rPr>
            </w:pPr>
            <w:r>
              <w:rPr>
                <w:rFonts w:hint="eastAsia"/>
                <w:lang w:val="en-US" w:eastAsia="zh-CN"/>
              </w:rPr>
              <w:t>3628.30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rPr>
                <w:rFonts w:hint="default" w:eastAsia="方正书宋_GBK"/>
                <w:lang w:val="en-US" w:eastAsia="zh-CN"/>
              </w:rPr>
            </w:pPr>
            <w:r>
              <w:t>36</w:t>
            </w:r>
            <w:r>
              <w:rPr>
                <w:rFonts w:hint="eastAsia"/>
                <w:lang w:val="en-US" w:eastAsia="zh-CN"/>
              </w:rPr>
              <w:t>28.30</w:t>
            </w:r>
          </w:p>
        </w:tc>
        <w:tc>
          <w:tcPr>
            <w:tcW w:w="1134" w:type="dxa"/>
            <w:vAlign w:val="center"/>
          </w:tcPr>
          <w:p>
            <w:pPr>
              <w:pStyle w:val="13"/>
            </w:pPr>
            <w:r>
              <w:t>3510.30</w:t>
            </w:r>
          </w:p>
        </w:tc>
        <w:tc>
          <w:tcPr>
            <w:tcW w:w="1134" w:type="dxa"/>
            <w:vAlign w:val="center"/>
          </w:tcPr>
          <w:p>
            <w:pPr>
              <w:pStyle w:val="13"/>
            </w:pPr>
            <w:r>
              <w:t>3510.30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11"/>
              <w:rPr>
                <w:rFonts w:hint="default" w:eastAsia="方正书宋_GBK"/>
                <w:lang w:val="en-US" w:eastAsia="zh-CN"/>
              </w:rPr>
            </w:pPr>
            <w:r>
              <w:t>36</w:t>
            </w:r>
            <w:r>
              <w:rPr>
                <w:rFonts w:hint="eastAsia"/>
                <w:lang w:val="en-US" w:eastAsia="zh-CN"/>
              </w:rPr>
              <w:t>28.30</w:t>
            </w:r>
          </w:p>
        </w:tc>
        <w:tc>
          <w:tcPr>
            <w:tcW w:w="1134" w:type="dxa"/>
            <w:vAlign w:val="center"/>
          </w:tcPr>
          <w:p>
            <w:pPr>
              <w:pStyle w:val="11"/>
            </w:pPr>
            <w:r>
              <w:t>3510.30</w:t>
            </w:r>
          </w:p>
        </w:tc>
        <w:tc>
          <w:tcPr>
            <w:tcW w:w="1134" w:type="dxa"/>
            <w:vAlign w:val="center"/>
          </w:tcPr>
          <w:p>
            <w:pPr>
              <w:pStyle w:val="11"/>
            </w:pPr>
            <w:r>
              <w:t>3510.30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20404</w:t>
            </w:r>
          </w:p>
        </w:tc>
        <w:tc>
          <w:tcPr>
            <w:tcW w:w="1559" w:type="dxa"/>
            <w:vAlign w:val="center"/>
          </w:tcPr>
          <w:p>
            <w:pPr>
              <w:pStyle w:val="10"/>
            </w:pPr>
            <w:r>
              <w:t>检察</w:t>
            </w:r>
          </w:p>
        </w:tc>
        <w:tc>
          <w:tcPr>
            <w:tcW w:w="1134" w:type="dxa"/>
            <w:vAlign w:val="center"/>
          </w:tcPr>
          <w:p>
            <w:pPr>
              <w:pStyle w:val="11"/>
              <w:rPr>
                <w:rFonts w:hint="default" w:eastAsia="方正书宋_GBK"/>
                <w:lang w:val="en-US" w:eastAsia="zh-CN"/>
              </w:rPr>
            </w:pPr>
            <w:r>
              <w:t>36</w:t>
            </w:r>
            <w:r>
              <w:rPr>
                <w:rFonts w:hint="eastAsia"/>
                <w:lang w:val="en-US" w:eastAsia="zh-CN"/>
              </w:rPr>
              <w:t>28.30</w:t>
            </w:r>
          </w:p>
        </w:tc>
        <w:tc>
          <w:tcPr>
            <w:tcW w:w="1134" w:type="dxa"/>
            <w:vAlign w:val="center"/>
          </w:tcPr>
          <w:p>
            <w:pPr>
              <w:pStyle w:val="11"/>
            </w:pPr>
            <w:r>
              <w:t>3510.30</w:t>
            </w:r>
          </w:p>
        </w:tc>
        <w:tc>
          <w:tcPr>
            <w:tcW w:w="1134" w:type="dxa"/>
            <w:vAlign w:val="center"/>
          </w:tcPr>
          <w:p>
            <w:pPr>
              <w:pStyle w:val="11"/>
            </w:pPr>
            <w:r>
              <w:t>3510.30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2040402</w:t>
            </w:r>
          </w:p>
        </w:tc>
        <w:tc>
          <w:tcPr>
            <w:tcW w:w="1559" w:type="dxa"/>
            <w:vAlign w:val="center"/>
          </w:tcPr>
          <w:p>
            <w:pPr>
              <w:pStyle w:val="10"/>
            </w:pPr>
            <w:r>
              <w:t>一般行政管理事务</w:t>
            </w:r>
          </w:p>
        </w:tc>
        <w:tc>
          <w:tcPr>
            <w:tcW w:w="1134" w:type="dxa"/>
            <w:vAlign w:val="center"/>
          </w:tcPr>
          <w:p>
            <w:pPr>
              <w:pStyle w:val="11"/>
            </w:pPr>
            <w:r>
              <w:t>510.00</w:t>
            </w:r>
          </w:p>
        </w:tc>
        <w:tc>
          <w:tcPr>
            <w:tcW w:w="1134" w:type="dxa"/>
            <w:vAlign w:val="center"/>
          </w:tcPr>
          <w:p>
            <w:pPr>
              <w:pStyle w:val="11"/>
            </w:pPr>
            <w:r>
              <w:t>510.00</w:t>
            </w:r>
          </w:p>
        </w:tc>
        <w:tc>
          <w:tcPr>
            <w:tcW w:w="1134" w:type="dxa"/>
            <w:vAlign w:val="center"/>
          </w:tcPr>
          <w:p>
            <w:pPr>
              <w:pStyle w:val="11"/>
            </w:pPr>
            <w:r>
              <w:t>510.00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2040410</w:t>
            </w:r>
          </w:p>
        </w:tc>
        <w:tc>
          <w:tcPr>
            <w:tcW w:w="1559" w:type="dxa"/>
            <w:vAlign w:val="center"/>
          </w:tcPr>
          <w:p>
            <w:pPr>
              <w:pStyle w:val="10"/>
            </w:pPr>
            <w:r>
              <w:t>检察监督</w:t>
            </w:r>
          </w:p>
        </w:tc>
        <w:tc>
          <w:tcPr>
            <w:tcW w:w="1134" w:type="dxa"/>
            <w:vAlign w:val="center"/>
          </w:tcPr>
          <w:p>
            <w:pPr>
              <w:pStyle w:val="11"/>
              <w:rPr>
                <w:rFonts w:hint="default" w:eastAsia="方正书宋_GBK"/>
                <w:lang w:val="en-US" w:eastAsia="zh-CN"/>
              </w:rPr>
            </w:pPr>
            <w:r>
              <w:t>60</w:t>
            </w:r>
            <w:r>
              <w:rPr>
                <w:rFonts w:hint="eastAsia"/>
                <w:lang w:val="en-US" w:eastAsia="zh-CN"/>
              </w:rPr>
              <w:t>1.70</w:t>
            </w:r>
          </w:p>
        </w:tc>
        <w:tc>
          <w:tcPr>
            <w:tcW w:w="1134" w:type="dxa"/>
            <w:vAlign w:val="center"/>
          </w:tcPr>
          <w:p>
            <w:pPr>
              <w:pStyle w:val="11"/>
            </w:pPr>
            <w:r>
              <w:t>576.70</w:t>
            </w:r>
          </w:p>
        </w:tc>
        <w:tc>
          <w:tcPr>
            <w:tcW w:w="1134" w:type="dxa"/>
            <w:vAlign w:val="center"/>
          </w:tcPr>
          <w:p>
            <w:pPr>
              <w:pStyle w:val="11"/>
            </w:pPr>
            <w:r>
              <w:t>576.70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lang w:val="en-US" w:eastAsia="zh-CN"/>
              </w:rPr>
            </w:pPr>
            <w:r>
              <w:rPr>
                <w:rFonts w:hint="eastAsia"/>
                <w:lang w:val="en-US"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2040499</w:t>
            </w:r>
          </w:p>
        </w:tc>
        <w:tc>
          <w:tcPr>
            <w:tcW w:w="1559" w:type="dxa"/>
            <w:vAlign w:val="center"/>
          </w:tcPr>
          <w:p>
            <w:pPr>
              <w:pStyle w:val="10"/>
            </w:pPr>
            <w:r>
              <w:t>其他检察支出</w:t>
            </w:r>
          </w:p>
        </w:tc>
        <w:tc>
          <w:tcPr>
            <w:tcW w:w="1134" w:type="dxa"/>
            <w:vAlign w:val="center"/>
          </w:tcPr>
          <w:p>
            <w:pPr>
              <w:pStyle w:val="11"/>
            </w:pPr>
            <w:r>
              <w:t>2516.60</w:t>
            </w:r>
          </w:p>
        </w:tc>
        <w:tc>
          <w:tcPr>
            <w:tcW w:w="1134" w:type="dxa"/>
            <w:vAlign w:val="center"/>
          </w:tcPr>
          <w:p>
            <w:pPr>
              <w:pStyle w:val="11"/>
            </w:pPr>
            <w:r>
              <w:t>2423.60</w:t>
            </w:r>
          </w:p>
        </w:tc>
        <w:tc>
          <w:tcPr>
            <w:tcW w:w="1134" w:type="dxa"/>
            <w:vAlign w:val="center"/>
          </w:tcPr>
          <w:p>
            <w:pPr>
              <w:pStyle w:val="11"/>
            </w:pPr>
            <w:r>
              <w:t>2423.60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93.00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rPr>
                <w:rFonts w:hint="default" w:eastAsia="方正书宋_GBK"/>
                <w:lang w:val="en-US" w:eastAsia="zh-CN"/>
              </w:rPr>
            </w:pPr>
            <w:r>
              <w:t>36</w:t>
            </w:r>
            <w:r>
              <w:rPr>
                <w:rFonts w:hint="eastAsia"/>
                <w:lang w:val="en-US" w:eastAsia="zh-CN"/>
              </w:rPr>
              <w:t>28.30</w:t>
            </w:r>
          </w:p>
        </w:tc>
        <w:tc>
          <w:tcPr>
            <w:tcW w:w="1361" w:type="dxa"/>
            <w:vAlign w:val="center"/>
          </w:tcPr>
          <w:p>
            <w:pPr>
              <w:pStyle w:val="13"/>
            </w:pPr>
          </w:p>
        </w:tc>
        <w:tc>
          <w:tcPr>
            <w:tcW w:w="1361" w:type="dxa"/>
            <w:vAlign w:val="center"/>
          </w:tcPr>
          <w:p>
            <w:pPr>
              <w:pStyle w:val="13"/>
              <w:rPr>
                <w:rFonts w:hint="default" w:eastAsia="方正书宋_GBK"/>
                <w:lang w:val="en-US" w:eastAsia="zh-CN"/>
              </w:rPr>
            </w:pPr>
            <w:r>
              <w:t>36</w:t>
            </w:r>
            <w:r>
              <w:rPr>
                <w:rFonts w:hint="eastAsia"/>
                <w:lang w:val="en-US" w:eastAsia="zh-CN"/>
              </w:rPr>
              <w:t>28.30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204</w:t>
            </w:r>
          </w:p>
        </w:tc>
        <w:tc>
          <w:tcPr>
            <w:tcW w:w="4536" w:type="dxa"/>
            <w:vAlign w:val="center"/>
          </w:tcPr>
          <w:p>
            <w:pPr>
              <w:pStyle w:val="10"/>
            </w:pPr>
            <w:r>
              <w:t>公共安全支出</w:t>
            </w:r>
          </w:p>
        </w:tc>
        <w:tc>
          <w:tcPr>
            <w:tcW w:w="1361" w:type="dxa"/>
            <w:vAlign w:val="center"/>
          </w:tcPr>
          <w:p>
            <w:pPr>
              <w:pStyle w:val="11"/>
              <w:rPr>
                <w:rFonts w:hint="default" w:eastAsia="方正书宋_GBK"/>
                <w:lang w:val="en-US" w:eastAsia="zh-CN"/>
              </w:rPr>
            </w:pPr>
            <w:r>
              <w:t>36</w:t>
            </w:r>
            <w:r>
              <w:rPr>
                <w:rFonts w:hint="eastAsia"/>
                <w:lang w:val="en-US" w:eastAsia="zh-CN"/>
              </w:rPr>
              <w:t>28.30</w:t>
            </w:r>
          </w:p>
        </w:tc>
        <w:tc>
          <w:tcPr>
            <w:tcW w:w="1361" w:type="dxa"/>
            <w:vAlign w:val="center"/>
          </w:tcPr>
          <w:p>
            <w:pPr>
              <w:pStyle w:val="11"/>
            </w:pPr>
          </w:p>
        </w:tc>
        <w:tc>
          <w:tcPr>
            <w:tcW w:w="1361" w:type="dxa"/>
            <w:vAlign w:val="center"/>
          </w:tcPr>
          <w:p>
            <w:pPr>
              <w:pStyle w:val="11"/>
              <w:rPr>
                <w:rFonts w:hint="default" w:eastAsia="方正书宋_GBK"/>
                <w:lang w:val="en-US" w:eastAsia="zh-CN"/>
              </w:rPr>
            </w:pPr>
            <w:r>
              <w:t>36</w:t>
            </w:r>
            <w:r>
              <w:rPr>
                <w:rFonts w:hint="eastAsia"/>
                <w:lang w:val="en-US" w:eastAsia="zh-CN"/>
              </w:rP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20404</w:t>
            </w:r>
          </w:p>
        </w:tc>
        <w:tc>
          <w:tcPr>
            <w:tcW w:w="4536" w:type="dxa"/>
            <w:vAlign w:val="center"/>
          </w:tcPr>
          <w:p>
            <w:pPr>
              <w:pStyle w:val="10"/>
            </w:pPr>
            <w:r>
              <w:t>检察</w:t>
            </w:r>
          </w:p>
        </w:tc>
        <w:tc>
          <w:tcPr>
            <w:tcW w:w="1361" w:type="dxa"/>
            <w:vAlign w:val="center"/>
          </w:tcPr>
          <w:p>
            <w:pPr>
              <w:pStyle w:val="11"/>
              <w:rPr>
                <w:rFonts w:hint="default" w:eastAsia="方正书宋_GBK"/>
                <w:lang w:val="en-US" w:eastAsia="zh-CN"/>
              </w:rPr>
            </w:pPr>
            <w:r>
              <w:t>36</w:t>
            </w:r>
            <w:r>
              <w:rPr>
                <w:rFonts w:hint="eastAsia"/>
                <w:lang w:val="en-US" w:eastAsia="zh-CN"/>
              </w:rPr>
              <w:t>28.30</w:t>
            </w:r>
          </w:p>
        </w:tc>
        <w:tc>
          <w:tcPr>
            <w:tcW w:w="1361" w:type="dxa"/>
            <w:vAlign w:val="center"/>
          </w:tcPr>
          <w:p>
            <w:pPr>
              <w:pStyle w:val="11"/>
            </w:pPr>
          </w:p>
        </w:tc>
        <w:tc>
          <w:tcPr>
            <w:tcW w:w="1361" w:type="dxa"/>
            <w:vAlign w:val="center"/>
          </w:tcPr>
          <w:p>
            <w:pPr>
              <w:pStyle w:val="11"/>
              <w:rPr>
                <w:rFonts w:hint="default" w:eastAsia="方正书宋_GBK"/>
                <w:lang w:val="en-US" w:eastAsia="zh-CN"/>
              </w:rPr>
            </w:pPr>
            <w:r>
              <w:t>36</w:t>
            </w:r>
            <w:r>
              <w:rPr>
                <w:rFonts w:hint="eastAsia"/>
                <w:lang w:val="en-US" w:eastAsia="zh-CN"/>
              </w:rP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2040402</w:t>
            </w:r>
          </w:p>
        </w:tc>
        <w:tc>
          <w:tcPr>
            <w:tcW w:w="4536" w:type="dxa"/>
            <w:vAlign w:val="center"/>
          </w:tcPr>
          <w:p>
            <w:pPr>
              <w:pStyle w:val="10"/>
            </w:pPr>
            <w:r>
              <w:t>一般行政管理事务</w:t>
            </w:r>
          </w:p>
        </w:tc>
        <w:tc>
          <w:tcPr>
            <w:tcW w:w="1361" w:type="dxa"/>
            <w:vAlign w:val="center"/>
          </w:tcPr>
          <w:p>
            <w:pPr>
              <w:pStyle w:val="11"/>
            </w:pPr>
            <w:r>
              <w:t>510.00</w:t>
            </w:r>
          </w:p>
        </w:tc>
        <w:tc>
          <w:tcPr>
            <w:tcW w:w="1361" w:type="dxa"/>
            <w:vAlign w:val="center"/>
          </w:tcPr>
          <w:p>
            <w:pPr>
              <w:pStyle w:val="11"/>
            </w:pPr>
          </w:p>
        </w:tc>
        <w:tc>
          <w:tcPr>
            <w:tcW w:w="1361" w:type="dxa"/>
            <w:vAlign w:val="center"/>
          </w:tcPr>
          <w:p>
            <w:pPr>
              <w:pStyle w:val="11"/>
            </w:pPr>
            <w:r>
              <w:t>510.00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2040410</w:t>
            </w:r>
          </w:p>
        </w:tc>
        <w:tc>
          <w:tcPr>
            <w:tcW w:w="4536" w:type="dxa"/>
            <w:vAlign w:val="center"/>
          </w:tcPr>
          <w:p>
            <w:pPr>
              <w:pStyle w:val="10"/>
            </w:pPr>
            <w:r>
              <w:t>检察监督</w:t>
            </w:r>
          </w:p>
        </w:tc>
        <w:tc>
          <w:tcPr>
            <w:tcW w:w="1361" w:type="dxa"/>
            <w:vAlign w:val="center"/>
          </w:tcPr>
          <w:p>
            <w:pPr>
              <w:pStyle w:val="11"/>
              <w:rPr>
                <w:rFonts w:hint="default" w:eastAsia="方正书宋_GBK"/>
                <w:lang w:val="en-US" w:eastAsia="zh-CN"/>
              </w:rPr>
            </w:pPr>
            <w:r>
              <w:rPr>
                <w:rFonts w:hint="eastAsia"/>
                <w:lang w:val="en-US" w:eastAsia="zh-CN"/>
              </w:rPr>
              <w:t>601.70</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601.70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2040499</w:t>
            </w:r>
          </w:p>
        </w:tc>
        <w:tc>
          <w:tcPr>
            <w:tcW w:w="4536" w:type="dxa"/>
            <w:vAlign w:val="center"/>
          </w:tcPr>
          <w:p>
            <w:pPr>
              <w:pStyle w:val="10"/>
            </w:pPr>
            <w:r>
              <w:t>其他检察支出</w:t>
            </w:r>
          </w:p>
        </w:tc>
        <w:tc>
          <w:tcPr>
            <w:tcW w:w="1361" w:type="dxa"/>
            <w:vAlign w:val="center"/>
          </w:tcPr>
          <w:p>
            <w:pPr>
              <w:pStyle w:val="11"/>
            </w:pPr>
            <w:r>
              <w:t>2516.60</w:t>
            </w:r>
          </w:p>
        </w:tc>
        <w:tc>
          <w:tcPr>
            <w:tcW w:w="1361" w:type="dxa"/>
            <w:vAlign w:val="center"/>
          </w:tcPr>
          <w:p>
            <w:pPr>
              <w:pStyle w:val="11"/>
            </w:pPr>
          </w:p>
        </w:tc>
        <w:tc>
          <w:tcPr>
            <w:tcW w:w="1361" w:type="dxa"/>
            <w:vAlign w:val="center"/>
          </w:tcPr>
          <w:p>
            <w:pPr>
              <w:pStyle w:val="11"/>
            </w:pPr>
            <w:r>
              <w:t>2516.60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3510.30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rPr>
                <w:rFonts w:hint="default" w:eastAsia="方正书宋_GBK"/>
                <w:lang w:val="en-US" w:eastAsia="zh-CN"/>
              </w:rPr>
            </w:pPr>
            <w:r>
              <w:t>36</w:t>
            </w:r>
            <w:r>
              <w:rPr>
                <w:rFonts w:hint="eastAsia"/>
                <w:lang w:val="en-US" w:eastAsia="zh-CN"/>
              </w:rPr>
              <w:t>28.30</w:t>
            </w:r>
          </w:p>
        </w:tc>
        <w:tc>
          <w:tcPr>
            <w:tcW w:w="1474" w:type="dxa"/>
            <w:vAlign w:val="center"/>
          </w:tcPr>
          <w:p>
            <w:pPr>
              <w:pStyle w:val="11"/>
              <w:rPr>
                <w:rFonts w:hint="default" w:eastAsia="方正书宋_GBK"/>
                <w:lang w:val="en-US" w:eastAsia="zh-CN"/>
              </w:rPr>
            </w:pPr>
            <w:r>
              <w:rPr>
                <w:rFonts w:hint="eastAsia"/>
                <w:lang w:val="en-US" w:eastAsia="zh-CN"/>
              </w:rPr>
              <w:t>3628.30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3510.30</w:t>
            </w:r>
          </w:p>
        </w:tc>
        <w:tc>
          <w:tcPr>
            <w:tcW w:w="3402" w:type="dxa"/>
            <w:vAlign w:val="center"/>
          </w:tcPr>
          <w:p>
            <w:pPr>
              <w:pStyle w:val="12"/>
            </w:pPr>
            <w:r>
              <w:t>本年支出合计</w:t>
            </w:r>
          </w:p>
        </w:tc>
        <w:tc>
          <w:tcPr>
            <w:tcW w:w="1474" w:type="dxa"/>
            <w:vAlign w:val="center"/>
          </w:tcPr>
          <w:p>
            <w:pPr>
              <w:pStyle w:val="13"/>
              <w:rPr>
                <w:rFonts w:hint="default" w:eastAsia="方正书宋_GBK"/>
                <w:lang w:val="en-US" w:eastAsia="zh-CN"/>
              </w:rPr>
            </w:pPr>
            <w:r>
              <w:t>36</w:t>
            </w:r>
            <w:r>
              <w:rPr>
                <w:rFonts w:hint="eastAsia"/>
                <w:lang w:val="en-US" w:eastAsia="zh-CN"/>
              </w:rPr>
              <w:t>28.30</w:t>
            </w:r>
          </w:p>
        </w:tc>
        <w:tc>
          <w:tcPr>
            <w:tcW w:w="1474" w:type="dxa"/>
            <w:vAlign w:val="center"/>
          </w:tcPr>
          <w:p>
            <w:pPr>
              <w:pStyle w:val="13"/>
              <w:rPr>
                <w:rFonts w:hint="default" w:eastAsia="方正书宋_GBK"/>
                <w:lang w:val="en-US" w:eastAsia="zh-CN"/>
              </w:rPr>
            </w:pPr>
            <w:r>
              <w:rPr>
                <w:rFonts w:hint="eastAsia"/>
                <w:lang w:val="en-US" w:eastAsia="zh-CN"/>
              </w:rPr>
              <w:t>3628.30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rPr>
                <w:rFonts w:hint="default" w:eastAsia="方正书宋_GBK"/>
                <w:lang w:val="en-US" w:eastAsia="zh-CN"/>
              </w:rPr>
            </w:pPr>
            <w:r>
              <w:rPr>
                <w:rFonts w:hint="eastAsia"/>
                <w:lang w:val="en-US" w:eastAsia="zh-CN"/>
              </w:rPr>
              <w:t>118.00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118.00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rPr>
                <w:rFonts w:hint="default" w:eastAsia="方正书宋_GBK"/>
                <w:lang w:val="en-US" w:eastAsia="zh-CN"/>
              </w:rPr>
            </w:pPr>
            <w:r>
              <w:t>36</w:t>
            </w:r>
            <w:r>
              <w:rPr>
                <w:rFonts w:hint="eastAsia"/>
                <w:lang w:val="en-US" w:eastAsia="zh-CN"/>
              </w:rPr>
              <w:t>28.30</w:t>
            </w:r>
          </w:p>
        </w:tc>
        <w:tc>
          <w:tcPr>
            <w:tcW w:w="3402" w:type="dxa"/>
            <w:vAlign w:val="center"/>
          </w:tcPr>
          <w:p>
            <w:pPr>
              <w:pStyle w:val="12"/>
            </w:pPr>
            <w:r>
              <w:t>支出总计</w:t>
            </w:r>
          </w:p>
        </w:tc>
        <w:tc>
          <w:tcPr>
            <w:tcW w:w="1474" w:type="dxa"/>
            <w:vAlign w:val="center"/>
          </w:tcPr>
          <w:p>
            <w:pPr>
              <w:pStyle w:val="13"/>
              <w:rPr>
                <w:rFonts w:hint="default" w:eastAsia="方正书宋_GBK"/>
                <w:lang w:val="en-US" w:eastAsia="zh-CN"/>
              </w:rPr>
            </w:pPr>
            <w:r>
              <w:rPr>
                <w:rFonts w:hint="eastAsia"/>
                <w:lang w:val="en-US" w:eastAsia="zh-CN"/>
              </w:rPr>
              <w:t>3628.30</w:t>
            </w:r>
          </w:p>
        </w:tc>
        <w:tc>
          <w:tcPr>
            <w:tcW w:w="1474" w:type="dxa"/>
            <w:vAlign w:val="center"/>
          </w:tcPr>
          <w:p>
            <w:pPr>
              <w:pStyle w:val="13"/>
              <w:rPr>
                <w:rFonts w:hint="default" w:eastAsia="方正书宋_GBK"/>
                <w:lang w:val="en-US" w:eastAsia="zh-CN"/>
              </w:rPr>
            </w:pPr>
            <w:r>
              <w:rPr>
                <w:rFonts w:hint="eastAsia"/>
                <w:lang w:val="en-US" w:eastAsia="zh-CN"/>
              </w:rPr>
              <w:t>3628.30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rPr>
                <w:rFonts w:hint="default" w:eastAsia="方正书宋_GBK"/>
                <w:lang w:val="en-US" w:eastAsia="zh-CN"/>
              </w:rPr>
            </w:pPr>
            <w:r>
              <w:t>36</w:t>
            </w:r>
            <w:r>
              <w:rPr>
                <w:rFonts w:hint="eastAsia"/>
                <w:lang w:val="en-US" w:eastAsia="zh-CN"/>
              </w:rPr>
              <w:t>28.30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3628.30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11"/>
              <w:rPr>
                <w:rFonts w:hint="default" w:eastAsia="方正书宋_GBK"/>
                <w:lang w:val="en-US" w:eastAsia="zh-CN"/>
              </w:rPr>
            </w:pPr>
            <w:r>
              <w:t>36</w:t>
            </w:r>
            <w:r>
              <w:rPr>
                <w:rFonts w:hint="eastAsia"/>
                <w:lang w:val="en-US" w:eastAsia="zh-CN"/>
              </w:rPr>
              <w:t>28.30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3628.30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20404</w:t>
            </w:r>
          </w:p>
        </w:tc>
        <w:tc>
          <w:tcPr>
            <w:tcW w:w="4535" w:type="dxa"/>
            <w:vAlign w:val="center"/>
          </w:tcPr>
          <w:p>
            <w:pPr>
              <w:pStyle w:val="10"/>
            </w:pPr>
            <w:r>
              <w:t>检察</w:t>
            </w:r>
          </w:p>
        </w:tc>
        <w:tc>
          <w:tcPr>
            <w:tcW w:w="2551" w:type="dxa"/>
            <w:vAlign w:val="center"/>
          </w:tcPr>
          <w:p>
            <w:pPr>
              <w:pStyle w:val="11"/>
              <w:rPr>
                <w:rFonts w:hint="default" w:eastAsia="方正书宋_GBK"/>
                <w:lang w:val="en-US" w:eastAsia="zh-CN"/>
              </w:rPr>
            </w:pPr>
            <w:r>
              <w:rPr>
                <w:rFonts w:hint="eastAsia"/>
                <w:lang w:val="en-US" w:eastAsia="zh-CN"/>
              </w:rPr>
              <w:t>3628.30</w:t>
            </w:r>
          </w:p>
        </w:tc>
        <w:tc>
          <w:tcPr>
            <w:tcW w:w="2551" w:type="dxa"/>
            <w:vAlign w:val="center"/>
          </w:tcPr>
          <w:p>
            <w:pPr>
              <w:pStyle w:val="11"/>
            </w:pPr>
          </w:p>
        </w:tc>
        <w:tc>
          <w:tcPr>
            <w:tcW w:w="2551" w:type="dxa"/>
            <w:vAlign w:val="center"/>
          </w:tcPr>
          <w:p>
            <w:pPr>
              <w:pStyle w:val="11"/>
              <w:rPr>
                <w:rFonts w:hint="default" w:eastAsia="方正书宋_GBK"/>
                <w:lang w:val="en-US" w:eastAsia="zh-CN"/>
              </w:rPr>
            </w:pPr>
            <w:r>
              <w:t>36</w:t>
            </w:r>
            <w:r>
              <w:rPr>
                <w:rFonts w:hint="eastAsia"/>
                <w:lang w:val="en-US" w:eastAsia="zh-CN"/>
              </w:rPr>
              <w:t>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2040402</w:t>
            </w:r>
          </w:p>
        </w:tc>
        <w:tc>
          <w:tcPr>
            <w:tcW w:w="4535" w:type="dxa"/>
            <w:vAlign w:val="center"/>
          </w:tcPr>
          <w:p>
            <w:pPr>
              <w:pStyle w:val="10"/>
            </w:pPr>
            <w:r>
              <w:t>一般行政管理事务</w:t>
            </w:r>
          </w:p>
        </w:tc>
        <w:tc>
          <w:tcPr>
            <w:tcW w:w="2551" w:type="dxa"/>
            <w:vAlign w:val="center"/>
          </w:tcPr>
          <w:p>
            <w:pPr>
              <w:pStyle w:val="11"/>
            </w:pPr>
            <w:r>
              <w:t>510.00</w:t>
            </w:r>
          </w:p>
        </w:tc>
        <w:tc>
          <w:tcPr>
            <w:tcW w:w="2551" w:type="dxa"/>
            <w:vAlign w:val="center"/>
          </w:tcPr>
          <w:p>
            <w:pPr>
              <w:pStyle w:val="11"/>
            </w:pPr>
          </w:p>
        </w:tc>
        <w:tc>
          <w:tcPr>
            <w:tcW w:w="2551" w:type="dxa"/>
            <w:vAlign w:val="center"/>
          </w:tcPr>
          <w:p>
            <w:pPr>
              <w:pStyle w:val="11"/>
            </w:pPr>
            <w:r>
              <w:t>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2040410</w:t>
            </w:r>
          </w:p>
        </w:tc>
        <w:tc>
          <w:tcPr>
            <w:tcW w:w="4535" w:type="dxa"/>
            <w:vAlign w:val="center"/>
          </w:tcPr>
          <w:p>
            <w:pPr>
              <w:pStyle w:val="10"/>
            </w:pPr>
            <w:r>
              <w:t>检察监督</w:t>
            </w:r>
          </w:p>
        </w:tc>
        <w:tc>
          <w:tcPr>
            <w:tcW w:w="2551" w:type="dxa"/>
            <w:vAlign w:val="center"/>
          </w:tcPr>
          <w:p>
            <w:pPr>
              <w:pStyle w:val="11"/>
              <w:rPr>
                <w:rFonts w:hint="default" w:eastAsia="方正书宋_GBK"/>
                <w:lang w:val="en-US" w:eastAsia="zh-CN"/>
              </w:rPr>
            </w:pPr>
            <w:r>
              <w:t>60</w:t>
            </w:r>
            <w:r>
              <w:rPr>
                <w:rFonts w:hint="eastAsia"/>
                <w:lang w:val="en-US" w:eastAsia="zh-CN"/>
              </w:rPr>
              <w:t>1.70</w:t>
            </w:r>
          </w:p>
        </w:tc>
        <w:tc>
          <w:tcPr>
            <w:tcW w:w="2551" w:type="dxa"/>
            <w:vAlign w:val="center"/>
          </w:tcPr>
          <w:p>
            <w:pPr>
              <w:pStyle w:val="11"/>
            </w:pPr>
          </w:p>
        </w:tc>
        <w:tc>
          <w:tcPr>
            <w:tcW w:w="2551" w:type="dxa"/>
            <w:vAlign w:val="center"/>
          </w:tcPr>
          <w:p>
            <w:pPr>
              <w:pStyle w:val="11"/>
              <w:rPr>
                <w:rFonts w:hint="default" w:eastAsia="方正书宋_GBK"/>
                <w:lang w:val="en-US" w:eastAsia="zh-CN"/>
              </w:rPr>
            </w:pPr>
            <w:r>
              <w:t>60</w:t>
            </w:r>
            <w:r>
              <w:rPr>
                <w:rFonts w:hint="eastAsia"/>
                <w:lang w:val="en-US" w:eastAsia="zh-CN"/>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2040499</w:t>
            </w:r>
          </w:p>
        </w:tc>
        <w:tc>
          <w:tcPr>
            <w:tcW w:w="4535" w:type="dxa"/>
            <w:vAlign w:val="center"/>
          </w:tcPr>
          <w:p>
            <w:pPr>
              <w:pStyle w:val="10"/>
            </w:pPr>
            <w:r>
              <w:t>其他检察支出</w:t>
            </w:r>
          </w:p>
        </w:tc>
        <w:tc>
          <w:tcPr>
            <w:tcW w:w="2551" w:type="dxa"/>
            <w:vAlign w:val="center"/>
          </w:tcPr>
          <w:p>
            <w:pPr>
              <w:pStyle w:val="11"/>
            </w:pPr>
            <w:r>
              <w:t>2516.60</w:t>
            </w:r>
          </w:p>
        </w:tc>
        <w:tc>
          <w:tcPr>
            <w:tcW w:w="2551" w:type="dxa"/>
            <w:vAlign w:val="center"/>
          </w:tcPr>
          <w:p>
            <w:pPr>
              <w:pStyle w:val="11"/>
            </w:pPr>
          </w:p>
        </w:tc>
        <w:tc>
          <w:tcPr>
            <w:tcW w:w="2551" w:type="dxa"/>
            <w:vAlign w:val="center"/>
          </w:tcPr>
          <w:p>
            <w:pPr>
              <w:pStyle w:val="11"/>
            </w:pPr>
            <w:r>
              <w:t>2516.60</w:t>
            </w:r>
          </w:p>
        </w:tc>
      </w:tr>
    </w:tbl>
    <w:p>
      <w:pPr>
        <w:sectPr>
          <w:pgSz w:w="16840" w:h="11900" w:orient="landscape"/>
          <w:pgMar w:top="1361" w:right="1020" w:bottom="1134" w:left="1020" w:header="720" w:footer="720" w:gutter="0"/>
          <w:cols w:space="720" w:num="1"/>
        </w:sectPr>
      </w:pPr>
    </w:p>
    <w:p>
      <w:pPr>
        <w:ind w:left="219" w:leftChars="0" w:hanging="219" w:hangingChars="61"/>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ind w:firstLine="1476" w:firstLineChars="700"/>
              <w:rPr>
                <w:rFonts w:hint="eastAsia" w:eastAsia="方正书宋_GBK"/>
                <w:lang w:val="en-US" w:eastAsia="zh-CN"/>
              </w:rPr>
            </w:pPr>
            <w:r>
              <w:rPr>
                <w:rFonts w:hint="eastAsia"/>
                <w:b/>
                <w:bCs/>
                <w:lang w:val="en-US" w:eastAsia="zh-CN"/>
              </w:rPr>
              <w:t>合  计</w:t>
            </w:r>
          </w:p>
        </w:tc>
        <w:tc>
          <w:tcPr>
            <w:tcW w:w="2382" w:type="dxa"/>
            <w:vAlign w:val="center"/>
          </w:tcPr>
          <w:p>
            <w:pPr>
              <w:pStyle w:val="11"/>
              <w:rPr>
                <w:rFonts w:hint="default" w:eastAsia="方正书宋_GBK"/>
                <w:lang w:val="en-US" w:eastAsia="zh-CN"/>
              </w:rPr>
            </w:pPr>
            <w:r>
              <w:rPr>
                <w:rFonts w:hint="eastAsia"/>
                <w:b/>
                <w:bCs/>
                <w:lang w:val="en-US" w:eastAsia="zh-CN"/>
              </w:rPr>
              <w:t>20.00</w:t>
            </w:r>
          </w:p>
        </w:tc>
        <w:tc>
          <w:tcPr>
            <w:tcW w:w="2381" w:type="dxa"/>
            <w:vAlign w:val="center"/>
          </w:tcPr>
          <w:p>
            <w:pPr>
              <w:pStyle w:val="11"/>
              <w:rPr>
                <w:rFonts w:hint="default"/>
                <w:lang w:val="en-US" w:eastAsia="zh-CN"/>
              </w:rPr>
            </w:pPr>
            <w:r>
              <w:rPr>
                <w:rFonts w:hint="eastAsia"/>
                <w:b/>
                <w:bCs/>
                <w:lang w:val="en-US" w:eastAsia="zh-CN"/>
              </w:rP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rPr>
                <w:rFonts w:hint="eastAsia"/>
                <w:b/>
                <w:bCs/>
                <w:lang w:val="en-US" w:eastAsia="zh-CN"/>
              </w:rPr>
            </w:pPr>
            <w:r>
              <w:t>一、因公出国（境）费</w:t>
            </w:r>
          </w:p>
        </w:tc>
        <w:tc>
          <w:tcPr>
            <w:tcW w:w="2382" w:type="dxa"/>
            <w:vAlign w:val="center"/>
          </w:tcPr>
          <w:p>
            <w:pPr>
              <w:pStyle w:val="11"/>
              <w:rPr>
                <w:rFonts w:hint="eastAsia"/>
                <w:lang w:val="en-US"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r>
              <w:t>二、公务用车购置及运维费</w:t>
            </w:r>
          </w:p>
        </w:tc>
        <w:tc>
          <w:tcPr>
            <w:tcW w:w="2382" w:type="dxa"/>
            <w:vAlign w:val="center"/>
          </w:tcPr>
          <w:p>
            <w:pPr>
              <w:pStyle w:val="11"/>
              <w:rPr>
                <w:rFonts w:hint="default"/>
                <w:lang w:val="en-US" w:eastAsia="zh-CN"/>
              </w:rPr>
            </w:pPr>
            <w:r>
              <w:rPr>
                <w:rFonts w:hint="eastAsia"/>
                <w:lang w:val="en-US" w:eastAsia="zh-CN"/>
              </w:rPr>
              <w:t>20.00</w:t>
            </w:r>
          </w:p>
        </w:tc>
        <w:tc>
          <w:tcPr>
            <w:tcW w:w="2381" w:type="dxa"/>
            <w:vAlign w:val="center"/>
          </w:tcPr>
          <w:p>
            <w:pPr>
              <w:pStyle w:val="11"/>
              <w:rPr>
                <w:rFonts w:hint="default" w:eastAsia="方正书宋_GBK"/>
                <w:lang w:val="en-US" w:eastAsia="zh-CN"/>
              </w:rPr>
            </w:pPr>
            <w:r>
              <w:rPr>
                <w:rFonts w:hint="eastAsia"/>
                <w:lang w:val="en-US" w:eastAsia="zh-CN"/>
              </w:rP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ind w:firstLine="420" w:firstLineChars="200"/>
            </w:pPr>
            <w:r>
              <w:t>其中：公务用车购置费</w:t>
            </w:r>
          </w:p>
        </w:tc>
        <w:tc>
          <w:tcPr>
            <w:tcW w:w="2382" w:type="dxa"/>
            <w:vAlign w:val="center"/>
          </w:tcPr>
          <w:p>
            <w:pPr>
              <w:pStyle w:val="11"/>
              <w:rPr>
                <w:rFonts w:hint="eastAsia"/>
                <w:lang w:val="en-US"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ind w:firstLine="1050" w:firstLineChars="500"/>
            </w:pPr>
            <w:r>
              <w:t>公务用车运行维护费</w:t>
            </w:r>
          </w:p>
        </w:tc>
        <w:tc>
          <w:tcPr>
            <w:tcW w:w="2382" w:type="dxa"/>
            <w:vAlign w:val="center"/>
          </w:tcPr>
          <w:p>
            <w:pPr>
              <w:pStyle w:val="11"/>
              <w:rPr>
                <w:rFonts w:hint="default"/>
                <w:lang w:val="en-US" w:eastAsia="zh-CN"/>
              </w:rPr>
            </w:pPr>
            <w:r>
              <w:rPr>
                <w:rFonts w:hint="eastAsia"/>
                <w:lang w:val="en-US" w:eastAsia="zh-CN"/>
              </w:rPr>
              <w:t>20.00</w:t>
            </w:r>
          </w:p>
        </w:tc>
        <w:tc>
          <w:tcPr>
            <w:tcW w:w="2381" w:type="dxa"/>
            <w:vAlign w:val="center"/>
          </w:tcPr>
          <w:p>
            <w:pPr>
              <w:pStyle w:val="11"/>
              <w:rPr>
                <w:rFonts w:hint="default" w:eastAsia="方正书宋_GBK"/>
                <w:lang w:val="en-US" w:eastAsia="zh-CN"/>
              </w:rPr>
            </w:pPr>
            <w:r>
              <w:rPr>
                <w:rFonts w:hint="eastAsia"/>
                <w:lang w:val="en-US" w:eastAsia="zh-CN"/>
              </w:rP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r>
              <w:t>三、公务接待费</w:t>
            </w:r>
          </w:p>
        </w:tc>
        <w:tc>
          <w:tcPr>
            <w:tcW w:w="2382" w:type="dxa"/>
            <w:vAlign w:val="center"/>
          </w:tcPr>
          <w:p>
            <w:pPr>
              <w:pStyle w:val="11"/>
              <w:rPr>
                <w:rFonts w:hint="eastAsia"/>
                <w:lang w:val="en-US"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tabs>
          <w:tab w:val="left" w:pos="370"/>
          <w:tab w:val="center" w:pos="7400"/>
        </w:tabs>
        <w:jc w:val="left"/>
        <w:outlineLvl w:val="0"/>
        <w:rPr>
          <w:rFonts w:hint="eastAsia" w:ascii="方正书宋_GBK" w:hAnsi="方正书宋_GBK" w:eastAsia="方正书宋_GBK" w:cs="方正书宋_GBK"/>
          <w:color w:val="FFFFFF"/>
          <w:sz w:val="21"/>
          <w:lang w:eastAsia="zh-CN"/>
        </w:rPr>
      </w:pPr>
      <w:r>
        <w:rPr>
          <w:rFonts w:hint="eastAsia" w:ascii="方正书宋_GBK" w:hAnsi="方正书宋_GBK" w:eastAsia="方正书宋_GBK" w:cs="方正书宋_GBK"/>
          <w:color w:val="FFFFFF"/>
          <w:sz w:val="21"/>
          <w:lang w:eastAsia="zh-CN"/>
        </w:rPr>
        <w:tab/>
      </w:r>
    </w:p>
    <w:p>
      <w:pPr>
        <w:tabs>
          <w:tab w:val="left" w:pos="370"/>
          <w:tab w:val="center" w:pos="7400"/>
        </w:tabs>
        <w:jc w:val="left"/>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lang w:eastAsia="zh-CN"/>
        </w:rPr>
        <w:tab/>
      </w:r>
      <w:r>
        <w:rPr>
          <w:rFonts w:ascii="方正书宋_GBK" w:hAnsi="方正书宋_GBK" w:eastAsia="方正书宋_GBK" w:cs="方正书宋_GBK"/>
          <w:color w:val="FFFFFF"/>
          <w:sz w:val="21"/>
        </w:rPr>
        <w:t>第一部分  河北省人民检察院雄安新区分院2022年部门预算信息公开情况说明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sz w:val="44"/>
        </w:rPr>
        <w:t>河北省人民检察院雄安新区分院2022年部门预算信息公开情况说明</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pPr>
      <w:r>
        <w:rPr>
          <w:rFonts w:eastAsia="方正仿宋_GBK"/>
          <w:color w:val="000000"/>
          <w:sz w:val="28"/>
        </w:rPr>
        <w:t>按照《预算法》、《地方预决算公开操作规程》和《关于进一步推进预算公开工作的实施意见》规定，现将河北省人民检察院雄安新区分院2022年部门预算公开如下：</w:t>
      </w:r>
    </w:p>
    <w:p>
      <w:pPr>
        <w:keepNext w:val="0"/>
        <w:keepLines w:val="0"/>
        <w:pageBreakBefore w:val="0"/>
        <w:widowControl w:val="0"/>
        <w:kinsoku/>
        <w:wordWrap/>
        <w:overflowPunct/>
        <w:topLinePunct w:val="0"/>
        <w:autoSpaceDE/>
        <w:autoSpaceDN/>
        <w:bidi w:val="0"/>
        <w:adjustRightInd/>
        <w:snapToGrid/>
        <w:spacing w:before="10" w:after="10" w:line="56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方正楷体_GBK" w:hAnsi="方正楷体_GBK" w:eastAsia="方正楷体_GBK" w:cs="方正楷体_GBK"/>
          <w:b/>
          <w:color w:val="000000"/>
          <w:sz w:val="32"/>
        </w:rPr>
        <w:t>部门职责：</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t>根据河北省机构编制委员会印发的《河北省人民检察院雄安新区分院职能配置内设机构和人员编制规定》冀机编[2018]17号文件的规定，雄安新区分院是河北省人民检察院的派出机构，受河北省人民检察院领导，行使和履行设区市级人民检察院的职权和职责，下辖雄县、安新、容城三个县级人民检察院。河北省人民检察院雄安新区分院的主要职责是：</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pPr>
      <w:r>
        <w:rPr>
          <w:rFonts w:hint="eastAsia"/>
          <w:lang w:eastAsia="zh-CN"/>
        </w:rPr>
        <w:t>（一）</w:t>
      </w:r>
      <w:r>
        <w:t>领导雄安新区检察工作，研究制定检察工作规划，部署检察工作任务。</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（二）</w:t>
      </w:r>
      <w:r>
        <w:t>依照法律规定对由本院直接受理的刑事案件进行侦查。</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（三）</w:t>
      </w:r>
      <w:r>
        <w:t>负责对雄安新区内重大刑事案件依法审查逮捕、提起公诉，领导下级人民检察院审查逮捕、提起公诉等工作。</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（四）</w:t>
      </w:r>
      <w:r>
        <w:t>负责雄安新区应由本院承办的刑事、民事、行政诉讼活动及刑事、民事、行政判决裁定等生效法律文书执行的法律监督工作，领导下级人民检察院对刑事、民事、行政诉讼活动及判决裁定等生效法律文书执行的法律监督工作。</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（五）</w:t>
      </w:r>
      <w:r>
        <w:t>负责应由本院承办的提起公益诉讼工作，领导下级人民检察院公益诉讼工作。</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（六）</w:t>
      </w:r>
      <w:r>
        <w:t>负责办理核准追诉案件，依法报请上级人民检察院审查核准。</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（七）</w:t>
      </w:r>
      <w:r>
        <w:t>负责应由本院承办的对看守所执法活动的法律监督工作，领导下级人民检察院开展对看守所执法活动的法律监督工作。</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（八）</w:t>
      </w:r>
      <w:r>
        <w:t>受理向本院的控告申诉，领导下级人民检察院控告申诉检察工作。</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（九）</w:t>
      </w:r>
      <w:r>
        <w:t>负责对下级人民检察院在行使检察权中作出的决定进行审查，纠正错误决定。</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pPr>
      <w:r>
        <w:rPr>
          <w:rFonts w:hint="eastAsia"/>
          <w:lang w:eastAsia="zh-CN"/>
        </w:rPr>
        <w:t>（十）</w:t>
      </w:r>
      <w:r>
        <w:t>组织对检察工作中法律政策具体应用问题进行研究；组织开展检察机关理论研究工作。</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（十一）</w:t>
      </w:r>
      <w:r>
        <w:t>负责雄安新区检察机关检务保障工作，领导雄安新区检察机关技术、信息化建设工作。</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（十二）</w:t>
      </w:r>
      <w:r>
        <w:t>负责雄安新区检察机关队伍建设和思想政治工作，管理检察官及其他检察人员；按照权限，管理和考核下级人民检察院领导班子及领导干部。</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（十三）</w:t>
      </w:r>
      <w:r>
        <w:t>领导雄安新区检察机关检务督察、巡察等工作，加强检察机关党风廉政建设和反腐败工作。</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（十四）</w:t>
      </w:r>
      <w:r>
        <w:t>完成上级检察机关交办的其他事项；履行法律法规规定的其他职责。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方正楷体_GBK" w:hAnsi="方正楷体_GBK" w:eastAsia="方正楷体_GBK" w:cs="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方正楷体_GBK" w:hAnsi="方正楷体_GBK" w:eastAsia="方正楷体_GBK" w:cs="方正楷体_GBK"/>
          <w:b/>
          <w:color w:val="000000"/>
          <w:sz w:val="32"/>
        </w:rPr>
        <w:t>机构设置：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sz w:val="32"/>
        </w:rPr>
        <w:t>部门机构设置情况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auto"/>
            </w:pPr>
            <w:r>
              <w:t>单位名称</w:t>
            </w:r>
          </w:p>
        </w:tc>
        <w:tc>
          <w:tcPr>
            <w:tcW w:w="1843"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auto"/>
            </w:pPr>
            <w:r>
              <w:t>单位性质</w:t>
            </w:r>
          </w:p>
        </w:tc>
        <w:tc>
          <w:tcPr>
            <w:tcW w:w="212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auto"/>
            </w:pPr>
            <w:r>
              <w:t>单位规格</w:t>
            </w:r>
          </w:p>
        </w:tc>
        <w:tc>
          <w:tcPr>
            <w:tcW w:w="382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both"/>
              <w:textAlignment w:val="auto"/>
            </w:pPr>
            <w:r>
              <w:t>河北省人民检察院雄安新区分院</w:t>
            </w:r>
          </w:p>
        </w:tc>
        <w:tc>
          <w:tcPr>
            <w:tcW w:w="1843" w:type="dxa"/>
            <w:vAlign w:val="center"/>
          </w:tcPr>
          <w:p>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pPr>
            <w:r>
              <w:t>行政</w:t>
            </w:r>
          </w:p>
        </w:tc>
        <w:tc>
          <w:tcPr>
            <w:tcW w:w="2126" w:type="dxa"/>
            <w:vAlign w:val="center"/>
          </w:tcPr>
          <w:p>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pPr>
            <w:r>
              <w:t>副厅（地）级</w:t>
            </w:r>
          </w:p>
        </w:tc>
        <w:tc>
          <w:tcPr>
            <w:tcW w:w="3827" w:type="dxa"/>
            <w:vAlign w:val="center"/>
          </w:tcPr>
          <w:p>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pPr>
            <w:r>
              <w:t>财政拨款</w:t>
            </w:r>
          </w:p>
        </w:tc>
      </w:tr>
    </w:tbl>
    <w:p>
      <w:pPr>
        <w:keepNext w:val="0"/>
        <w:keepLines w:val="0"/>
        <w:pageBreakBefore w:val="0"/>
        <w:widowControl w:val="0"/>
        <w:kinsoku/>
        <w:wordWrap/>
        <w:overflowPunct/>
        <w:topLinePunct w:val="0"/>
        <w:autoSpaceDE/>
        <w:autoSpaceDN/>
        <w:bidi w:val="0"/>
        <w:adjustRightInd/>
        <w:snapToGrid/>
        <w:spacing w:before="10" w:after="10" w:line="560" w:lineRule="exac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pPr>
      <w:r>
        <w:rPr>
          <w:rFonts w:eastAsia="方正仿宋_GBK"/>
          <w:color w:val="000000"/>
          <w:sz w:val="28"/>
        </w:rPr>
        <w:t>按照预算管理有关规定，目前我省部门预算的编制实行综合预算管理，即全部收入和支出都反映在预算中。河北省人民检察院雄安新区分院机关及所属事业单位的收支包含在部门预算中。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before="10" w:after="10" w:line="560" w:lineRule="exac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pPr>
        <w:pStyle w:val="17"/>
        <w:keepNext w:val="0"/>
        <w:keepLines w:val="0"/>
        <w:pageBreakBefore w:val="0"/>
        <w:widowControl w:val="0"/>
        <w:kinsoku/>
        <w:wordWrap/>
        <w:overflowPunct/>
        <w:topLinePunct w:val="0"/>
        <w:autoSpaceDE/>
        <w:autoSpaceDN/>
        <w:bidi w:val="0"/>
        <w:adjustRightInd/>
        <w:snapToGrid/>
        <w:spacing w:line="560" w:lineRule="exact"/>
        <w:jc w:val="both"/>
        <w:textAlignment w:val="auto"/>
      </w:pPr>
      <w:r>
        <w:t>河北省人民检察院雄安新区分院无机关运行经费预算安排（由省财政保障）。</w:t>
      </w:r>
    </w:p>
    <w:p>
      <w:pPr>
        <w:keepNext w:val="0"/>
        <w:keepLines w:val="0"/>
        <w:pageBreakBefore w:val="0"/>
        <w:widowControl w:val="0"/>
        <w:kinsoku/>
        <w:wordWrap/>
        <w:overflowPunct/>
        <w:topLinePunct w:val="0"/>
        <w:autoSpaceDE/>
        <w:autoSpaceDN/>
        <w:bidi w:val="0"/>
        <w:adjustRightInd/>
        <w:snapToGrid/>
        <w:spacing w:before="10" w:after="10" w:line="560" w:lineRule="exac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pPr>
      <w:r>
        <w:t>2022年，我院一般公共预算安排“三公”经费20万元。安排经费为公务用车购置及运维费，其中：车辆运行维护费20万元。增加的主要原因是新增加2辆公务用车，车辆运行维护费用增加。</w:t>
      </w:r>
    </w:p>
    <w:p>
      <w:pPr>
        <w:keepNext w:val="0"/>
        <w:keepLines w:val="0"/>
        <w:pageBreakBefore w:val="0"/>
        <w:widowControl w:val="0"/>
        <w:kinsoku/>
        <w:wordWrap/>
        <w:overflowPunct/>
        <w:topLinePunct w:val="0"/>
        <w:autoSpaceDE/>
        <w:autoSpaceDN/>
        <w:bidi w:val="0"/>
        <w:adjustRightInd/>
        <w:snapToGrid/>
        <w:spacing w:before="10" w:after="10" w:line="560" w:lineRule="exact"/>
        <w:ind w:firstLine="640"/>
        <w:jc w:val="both"/>
        <w:textAlignment w:val="auto"/>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eastAsia="方正仿宋_GBK"/>
          <w:color w:val="000000"/>
          <w:sz w:val="28"/>
        </w:rPr>
        <w:t>（一）总体绩效目标</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pPr>
      <w:r>
        <w:rPr>
          <w:rFonts w:hint="eastAsia"/>
          <w:lang w:eastAsia="zh-CN"/>
        </w:rPr>
        <w:t>以习近平新时代中国特色社会主义思想为指导，全面贯彻习近平法治思想，深入贯彻党的十九大和十九届历次全会精神，坚决贯彻落实《关于支持河北雄安新区全面深化改革和扩大开放的指导意见》和《关于加强新时代检察机关法律监督工作的意见》，以全力确保党的二十大胜利召开为主线，以服务新区建设发展为主题，以努力打造“雄安质量”检察版为目标，一体谋划推进“质量建设年”，大力加强品牌建设，以钉钉子和求极致的精神依法能动履职，为高标准高质量高效率建设雄安新区提供坚强法治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（二）分项绩效目标</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w:t>
      </w:r>
      <w:r>
        <w:t>加强普通刑事犯罪检察工作</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绩效目标：依法严肃打击侵犯公民财产权、人身权、扰乱社会秩序等各类刑事犯罪；严厉打击危害自然资源和生态环境犯罪，增强人民群众的获得感幸福感安全感；</w:t>
      </w:r>
      <w:r>
        <w:rPr>
          <w:rFonts w:hint="eastAsia"/>
          <w:lang w:eastAsia="zh-CN"/>
        </w:rPr>
        <w:t>持续</w:t>
      </w:r>
      <w:r>
        <w:t>推进扫黑除恶</w:t>
      </w:r>
      <w:r>
        <w:rPr>
          <w:rFonts w:hint="eastAsia"/>
          <w:lang w:eastAsia="zh-CN"/>
        </w:rPr>
        <w:t>斗争常态化</w:t>
      </w:r>
      <w:r>
        <w:t>工作，</w:t>
      </w:r>
      <w:r>
        <w:rPr>
          <w:rFonts w:hint="eastAsia"/>
          <w:lang w:eastAsia="zh-CN"/>
        </w:rPr>
        <w:t>保证</w:t>
      </w:r>
      <w:r>
        <w:t>对重大涉黑恶案件督办力度，做好起诉案件的点对点指导工作，</w:t>
      </w:r>
      <w:r>
        <w:rPr>
          <w:rFonts w:hint="eastAsia"/>
          <w:lang w:eastAsia="zh-CN"/>
        </w:rPr>
        <w:t>做好“四大行业”的治理，</w:t>
      </w:r>
      <w:r>
        <w:t>持续做好认罪认罚从宽工作，不断提升办案质效；以规范化、专业化为导向，加强普通刑事犯罪检察人才队伍和工作机制建设。</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w:t>
      </w:r>
      <w:r>
        <w:t>进一步提升重大刑事犯罪办案质效</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绩效目标：充分发挥重罪检察职能，坚持以司法办案为中心，依法严厉打击危害国家安全、危害公共安全、故意杀人、抢劫、毒品等重大刑事犯罪</w:t>
      </w:r>
      <w:r>
        <w:rPr>
          <w:rFonts w:hint="eastAsia"/>
          <w:lang w:eastAsia="zh-CN"/>
        </w:rPr>
        <w:t>，推进重罪案件捕诉一体化办案机制建设，持续抓好“四号检察建议”“七号检察建议”落实见效</w:t>
      </w:r>
      <w:r>
        <w:t>，</w:t>
      </w:r>
      <w:r>
        <w:rPr>
          <w:rFonts w:hint="eastAsia"/>
          <w:lang w:eastAsia="zh-CN"/>
        </w:rPr>
        <w:t>提升服务和保障社会治理能力，</w:t>
      </w:r>
      <w:r>
        <w:t>进一步提升办案质效，维护社会和谐稳定。</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3.</w:t>
      </w:r>
      <w:r>
        <w:t>为反腐败深入发展提供有力司法保障</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绩效目标：充分履行职务犯罪检察职能，着力提高案件办理质效</w:t>
      </w:r>
      <w:r>
        <w:rPr>
          <w:rFonts w:hint="eastAsia"/>
          <w:lang w:eastAsia="zh-CN"/>
        </w:rPr>
        <w:t>，做好行贿受贿犯罪一起查处工作</w:t>
      </w:r>
      <w:r>
        <w:t>。与新区监察组、审判机关、公安机关的协调配合，形成反腐败的工作合力。</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4.</w:t>
      </w:r>
      <w:r>
        <w:t>加强经济犯罪检察工作</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绩效目标：准确把握经济犯罪检察工作在刑事检察中的职能定位，履行好捕诉职能，依法严厉打击经济犯罪，全力推进防范化解重大风险攻坚战。依法严惩危害食品药品安全犯罪</w:t>
      </w:r>
      <w:r>
        <w:rPr>
          <w:rFonts w:hint="eastAsia"/>
          <w:lang w:eastAsia="zh-CN"/>
        </w:rPr>
        <w:t>、</w:t>
      </w:r>
      <w:r>
        <w:t>涉农领域经济犯罪、生态领域经济犯罪。依法打击侵犯民营企业合法权益犯罪活动，依法平等保护民营经济合法权益。积极参与整顿和规范市场秩序，依法惩治串通投标、强迫交易、合同诈骗等经济犯罪，依法维护市场经济秩序。</w:t>
      </w:r>
      <w:r>
        <w:rPr>
          <w:rFonts w:hint="eastAsia"/>
          <w:lang w:eastAsia="zh-CN"/>
        </w:rPr>
        <w:t>依法做强做实知识产权检察工作，保障新区创新主体健康发展。进一步加强反洗钱工作，做好涉案企业合规建设工作。</w:t>
      </w:r>
      <w:r>
        <w:t>以规范化、专业化为导向，注重加强经济犯罪检察人才队伍和工作机制建设。</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5.</w:t>
      </w:r>
      <w:r>
        <w:t>刑事执行检察职能得到充分发挥</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绩效目标：查办诉讼过程中侵犯公民权利、损害司法公正犯罪的能力不断提高，刑事执行检察监督方式进一步科学、合理，监督效果更加突显，刑事被执行人的权益得到有效保障，监管场所不发生重大敏感事件，</w:t>
      </w:r>
      <w:r>
        <w:rPr>
          <w:rFonts w:hint="eastAsia"/>
          <w:lang w:eastAsia="zh-CN"/>
        </w:rPr>
        <w:t>深入开展剥夺政治权利执行工作，服务新区征迁建设大局，强化社区矫正和财产刑执行检察工作，</w:t>
      </w:r>
      <w:r>
        <w:t>刑事执行领域公平正义得以实现。</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6.</w:t>
      </w:r>
      <w:r>
        <w:t>全面履行民事检察职能</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  </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7.</w:t>
      </w:r>
      <w:r>
        <w:t>推动行政检察工作科学发展</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绩效目标：提高政治站位，更新监督理念，建立健全行政法律监督格局，提高办案质效，</w:t>
      </w:r>
      <w:r>
        <w:rPr>
          <w:rFonts w:hint="eastAsia"/>
          <w:lang w:eastAsia="zh-CN"/>
        </w:rPr>
        <w:t>积极探索行政违法行为监督，</w:t>
      </w:r>
      <w:r>
        <w:t>扩大行政检察工作影响力，促进行政检察人员专业化建设。</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8.</w:t>
      </w:r>
      <w:r>
        <w:t>持续加大公益诉讼检察工作力度</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绩效目标：加大办理“4+</w:t>
      </w:r>
      <w:r>
        <w:rPr>
          <w:rFonts w:hint="eastAsia"/>
          <w:lang w:val="en-US" w:eastAsia="zh-CN"/>
        </w:rPr>
        <w:t>5</w:t>
      </w:r>
      <w:r>
        <w:t>”领域公益诉讼案件力度，积极稳妥开展“等”外领域公益诉讼案件办理工作。加大公益诉讼宣传力度，扩大公众对公益诉讼检察的知晓度、参与度，营造良好舆论氛围，构建社会治理共同体。</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9.</w:t>
      </w:r>
      <w:r>
        <w:t>有效履行新时期未检职能</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w:t>
      </w:r>
      <w:r>
        <w:rPr>
          <w:rFonts w:hint="eastAsia"/>
          <w:lang w:eastAsia="zh-CN"/>
        </w:rPr>
        <w:t>，联合有关部门有效开展家庭教育指导工作，全方位开展法治宣传教育工作，</w:t>
      </w:r>
      <w:r>
        <w:t>积极参与青少年法治教育工作，推动落实各级检察院检察长、</w:t>
      </w:r>
      <w:r>
        <w:rPr>
          <w:rFonts w:hint="eastAsia"/>
          <w:lang w:eastAsia="zh-CN"/>
        </w:rPr>
        <w:t>院领导</w:t>
      </w:r>
      <w:r>
        <w:t>担任辖区中小学校兼职法治副校长制度，继续深入推进法治进校园</w:t>
      </w:r>
      <w:r>
        <w:rPr>
          <w:rFonts w:hint="eastAsia"/>
          <w:lang w:eastAsia="zh-CN"/>
        </w:rPr>
        <w:t>、进乡村、进社区等</w:t>
      </w:r>
      <w:r>
        <w:t>各类法治宣</w:t>
      </w:r>
      <w:r>
        <w:rPr>
          <w:rFonts w:hint="eastAsia"/>
          <w:lang w:eastAsia="zh-CN"/>
        </w:rPr>
        <w:t>讲</w:t>
      </w:r>
      <w:r>
        <w:t>活动</w:t>
      </w:r>
      <w:r>
        <w:rPr>
          <w:rFonts w:hint="eastAsia"/>
          <w:lang w:eastAsia="zh-CN"/>
        </w:rPr>
        <w:t>，全力宣传“雄安未检园地”法治教育平台，促使平台发挥更大实效作用，继续打造新区未检特色品牌工作，稳步推进未成年人检察业务统一集中办理工作，全面铺开涉未工作刑事、民事、行政、公益诉讼业务，加快办理进度和深度</w:t>
      </w:r>
      <w:r>
        <w:t xml:space="preserve">。 </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10.</w:t>
      </w:r>
      <w:r>
        <w:t>控告申诉检察业务能力整体增强</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 </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11.</w:t>
      </w:r>
      <w:r>
        <w:t>当好参谋助手，优化政务保障</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以文辅政、参谋助手能力整体增强，会务保障水平显著提高，值班效率提升，督查效果明显，文件办理效率和规范化水平进一步提高，积极谋划检察档案建设，外事工作办理程序规范、周全圆满，代表委员联络工作实现更精更细更实。</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12.</w:t>
      </w:r>
      <w:r>
        <w:t>干部人事管理水平进一步加强</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积极推进司法体制改革相关工作，进一步加强人员分类管理，不断完善规范员额动态管理、检察人员选升晋升等工作，持续推动检察人员职业保障及配套工作。全面加强队伍建设，进一步做好雄安检察机关干部选拔任用、招录招聘、调配交流、职级调整、考核评价等工作，不断规范完善工资福利、档案考勤管理，持续强化干部监督管理。积极履行对下协管职责。</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13.</w:t>
      </w:r>
      <w:r>
        <w:t>检察宣传能力整体增强</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强检察机关意识形态建设；积极开展主题宣传和专项宣传，进一步提升检察公信力和群众满意度，规范新闻发布管理，拓展新闻宣传阵地；“三同步”工作机制正常运转，积极开展涉检舆情应对工作；检务公开网络平台安全平稳运行，积极为群众提供信息服务；加强新媒体平台建设，提升新媒体运维管理水平，扩大网络平台社会影响力；大力开展先进典型培树宣传；积极推动检察文化建设深入发展，活跃检察机关文化生活。</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14.</w:t>
      </w:r>
      <w:r>
        <w:t>教育培训工作成效显著提高</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科学、合理、统一、规范安排各类培训，不断将政治培训融入业务培训之中，培训的针对性和实效性得到进一步提升，培训形式不断完善，培训质量进一步提高，积极培养业务专家和兼职教师在检察工作中的高端引领作用得到进一步凸现，采取请进来、走出去等办法，拓展一批精品课程，领导干部上讲台成为常态化。</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15.</w:t>
      </w:r>
      <w:r>
        <w:t>基层检察院建设水平进一步提升</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提升基层检察院执行力、专业化水平和政治功能，推进基层检察院建设转型升级、创新发展；健全完善院领导定点联系指导基层制度，推动基层建设任务落地落实；组织基层检察院建设实地观摩，提升基层检察院检察长的能力素质。</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16.</w:t>
      </w:r>
      <w:r>
        <w:t>检察理论研究工作整体增强</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强调研机制建设和研究队伍建设，构建全员参与的大调研工作机制。以检委会信息化建设为契机，进一步规范检委会工作，用好专家人才库提供外脑智力支持。积极落实省院对检答网等省院定期通报方面工作的要求。</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17.</w:t>
      </w:r>
      <w:r>
        <w:t>案管监督、管理业务工作水平提升</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接收、录入并及时分配各类案件；接待律师咨询、阅卷等各类工作，保障律师权益正确行使；定期评查案件，使新区案件质量整体进一步提高，加强统一业务应用系统的规范使用和深度应用，做好案件流程监控工作，提高案件整体质量；开展业务数据分析研判工作，为检察决策和业务开展提供参考依据；提升案件信息公开工作的整体水平；组织做好人民监督员监督工作；确保涉案财物按规定随案移交，妥善保管。 </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18.</w:t>
      </w:r>
      <w:r>
        <w:t xml:space="preserve">构建检察权运行新型监督制约机制  </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建立系统内巡察、内部审计、检察官惩戒、司法责任追究、廉政风险防控等工作机制，强化对检察机关及其工作人员执行法律法规情况的督察，对检察人员在司法办案中履行职责、行使职权情况进行监督纠错、督促整改，从而强化对检察权运行的监督制约，保证检察机关和检察人员依法履职、公正司法。     </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19.</w:t>
      </w:r>
      <w:r>
        <w:t>提升司法鉴定办案能力和信息化工作水平</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绩效目标：建设高水平司法鉴定实验室；提升检察技术辅助检察办案质效；统筹新区公益诉讼快检工作，配合做好逃避司法打击违规排放、违法经营等生态环境破坏行为得到有效遏制。</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统筹规划新区信息化建设，积极推进检察信息化与新区数字城市建设深度融合；按要求完成机关业务系统分保、等保建设，各网络、系统顺畅、高效、安全运行，提升机关运维保障能力；检察信息技术与检察业务融合进一步深化。</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20.</w:t>
      </w:r>
      <w:r>
        <w:t>严格认真履职确保办案安全</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拓展法警履职空间，主动融入公益诉讼，协助远程提审，公开审查、宣告等新增检察业务，参与职务犯罪自行侦查、刑事案件自行补充侦查、提审、对监管场所巡回检察等工作，探索协助侦查监督提前介入、民行息诉工作、保护重大案件中检察人员和证人安全、协助刑事执行申诉案件的调查取证等工作，把警务保障做强做实。</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21.</w:t>
      </w:r>
      <w:r>
        <w:t>检务保障水平和能力整体增强</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绩效目标：科学合理编制部门预决算；做好机关财务管理、国有资产管理、政府采购、公务接待、后勤服务等工作；指导新区检察机关检务保障工作。</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22.</w:t>
      </w:r>
      <w:r>
        <w:t>检察教育培训的主渠道和主阵地作用进一步增强</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以政治理论教育、政策法规教育为重点，注重业务知识培训和科学人文素养教育；发挥信息化建设服务教学、服务科研、服务保障的功能，确保教学保障能力充分适应深入推进实战化培训需求；强化按章办事意识能力，加大工作监督落实力度，提高工作执行力。</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pPr>
      <w:r>
        <w:rPr>
          <w:rFonts w:eastAsia="方正仿宋_GBK"/>
          <w:color w:val="000000"/>
          <w:sz w:val="28"/>
        </w:rPr>
        <w:t>（三）工作保障措施</w:t>
      </w:r>
    </w:p>
    <w:p>
      <w:pPr>
        <w:pStyle w:val="21"/>
        <w:keepNext w:val="0"/>
        <w:keepLines w:val="0"/>
        <w:pageBreakBefore w:val="0"/>
        <w:widowControl w:val="0"/>
        <w:kinsoku/>
        <w:wordWrap/>
        <w:overflowPunct/>
        <w:topLinePunct w:val="0"/>
        <w:autoSpaceDE/>
        <w:autoSpaceDN/>
        <w:bidi w:val="0"/>
        <w:adjustRightInd/>
        <w:snapToGrid/>
        <w:spacing w:line="560" w:lineRule="exact"/>
        <w:jc w:val="both"/>
        <w:textAlignment w:val="auto"/>
      </w:pPr>
      <w:r>
        <w:t>为实现我院年度绩效目标，我院将采取有效措施，做好预判，控制偏差，切实提高预算绩效管理水平，保证绩效目标如期实现。</w:t>
      </w:r>
    </w:p>
    <w:p>
      <w:pPr>
        <w:pStyle w:val="21"/>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w:t>
      </w:r>
      <w:r>
        <w:t>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pPr>
        <w:pStyle w:val="21"/>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w:t>
      </w:r>
      <w:r>
        <w:t>健全制度体系。根据预算绩效管理有关规定，以及各项财政政策要求，及时补充、修改、完善我院预算管理制度体系。狠抓制度落实，坚持按制度办事，规范预算资金管理程序。</w:t>
      </w:r>
    </w:p>
    <w:p>
      <w:pPr>
        <w:pStyle w:val="21"/>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3.</w:t>
      </w:r>
      <w:r>
        <w:t>重视过程管理。按要求开展绩效运行监控，对绩效目标实现程度和预算执行进度进行“双监控”，切实加强预算项目事前绩效评估，充分论证项目必要性，完善项目决策机制，提高年初预算科学性；抓好预算执行过程控制，采取有效措施，加强项目调度，加快项目实施，提高财政资金使用效率；按要求做好绩效自评工作，调整优化绩效管理体系，不断提高资金使用效益。</w:t>
      </w:r>
    </w:p>
    <w:p>
      <w:pPr>
        <w:pStyle w:val="21"/>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4.</w:t>
      </w:r>
      <w:r>
        <w:t>加强内外部监督。充分发挥内部监督作用，对预算绩效运行情况、重大支出事项、重大项目建设等其他重要经济业务的决策和执行进行监督；配合做好巡视、审计、财政监督等外部监督工作；依法进行预决算公开，接受社会公众监督，确保财政资金安全有效。</w:t>
      </w:r>
    </w:p>
    <w:p>
      <w:pPr>
        <w:pStyle w:val="21"/>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5.</w:t>
      </w:r>
      <w:r>
        <w:t>强化宣传培训。充分利用各种渠道，广泛宣传预算绩效管理工作，使广大干警牢固树立绩效理念、熟悉绩效管理流程，提升绩效管理能力，促进绩效管理水平进一步提升。</w:t>
      </w:r>
    </w:p>
    <w:p>
      <w:pPr>
        <w:ind w:firstLine="640"/>
        <w:rPr>
          <w:rFonts w:ascii="方正楷体_GBK" w:hAnsi="方正楷体_GBK" w:eastAsia="方正楷体_GBK" w:cs="方正楷体_GBK"/>
          <w:b/>
          <w:color w:val="000000"/>
          <w:sz w:val="32"/>
        </w:rPr>
      </w:pPr>
    </w:p>
    <w:p>
      <w:pPr>
        <w:numPr>
          <w:ilvl w:val="0"/>
          <w:numId w:val="1"/>
        </w:num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 xml:space="preserve"> 专项资</w:t>
      </w:r>
      <w:r>
        <w:rPr>
          <w:rFonts w:hint="eastAsia" w:ascii="方正楷体_GBK" w:hAnsi="方正楷体_GBK" w:eastAsia="方正楷体_GBK" w:cs="方正楷体_GBK"/>
          <w:b/>
          <w:color w:val="000000"/>
          <w:sz w:val="32"/>
          <w:lang w:eastAsia="zh-CN"/>
        </w:rPr>
        <w:t>金绩效目标</w:t>
      </w:r>
    </w:p>
    <w:p>
      <w:pPr>
        <w:numPr>
          <w:numId w:val="0"/>
        </w:numPr>
        <w:ind w:firstLine="643" w:firstLineChars="200"/>
        <w:rPr>
          <w:rFonts w:ascii="方正楷体_GBK" w:hAnsi="方正楷体_GBK" w:eastAsia="方正楷体_GBK" w:cs="方正楷体_GBK"/>
          <w:b/>
          <w:color w:val="000000"/>
          <w:sz w:val="32"/>
          <w:lang w:val="en-US" w:eastAsia="zh-CN"/>
        </w:rPr>
      </w:pPr>
      <w:r>
        <w:rPr>
          <w:rFonts w:ascii="方正楷体_GBK" w:hAnsi="方正楷体_GBK" w:eastAsia="方正楷体_GBK" w:cs="方正楷体_GBK"/>
          <w:b/>
          <w:color w:val="000000"/>
          <w:sz w:val="32"/>
        </w:rPr>
        <w:t>第三部分  预算项目绩效目标</w:t>
      </w:r>
      <w:bookmarkStart w:id="18" w:name="_GoBack"/>
      <w:bookmarkEnd w:id="18"/>
    </w:p>
    <w:p>
      <w:pPr>
        <w:rPr>
          <w:rFonts w:ascii="方正仿宋_GBK" w:hAnsi="方正仿宋_GBK" w:eastAsia="方正仿宋_GBK" w:cs="方正仿宋_GBK"/>
          <w:b/>
          <w:color w:val="000000"/>
          <w:sz w:val="28"/>
        </w:rPr>
      </w:pPr>
    </w:p>
    <w:p>
      <w:pPr>
        <w:ind w:left="218" w:leftChars="104" w:firstLine="343" w:firstLineChars="122"/>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1、“雄安新区行政执法与刑事司法衔接工作“专项经费绩效目标</w:t>
      </w:r>
    </w:p>
    <w:tbl>
      <w:tblPr>
        <w:tblStyle w:val="2"/>
        <w:tblpPr w:leftFromText="180" w:rightFromText="180" w:vertAnchor="text" w:horzAnchor="page" w:tblpX="1267" w:tblpY="45"/>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绩效目标</w:t>
            </w:r>
          </w:p>
        </w:tc>
        <w:tc>
          <w:tcPr>
            <w:tcW w:w="12757" w:type="dxa"/>
            <w:gridSpan w:val="5"/>
            <w:vAlign w:val="center"/>
          </w:tcPr>
          <w:p>
            <w:pPr>
              <w:pStyle w:val="10"/>
            </w:pPr>
            <w:r>
              <w:t>1.加强对“两法衔接”工作的培训、咨询，提高应用水平</w:t>
            </w:r>
          </w:p>
          <w:p>
            <w:pPr>
              <w:pStyle w:val="8"/>
              <w:jc w:val="both"/>
            </w:pPr>
            <w:r>
              <w:rPr>
                <w:rFonts w:ascii="方正书宋_GBK" w:hAnsi="方正书宋_GBK" w:eastAsia="方正书宋_GBK" w:cs="方正书宋_GBK"/>
                <w:b w:val="0"/>
                <w:kern w:val="2"/>
                <w:sz w:val="21"/>
                <w:szCs w:val="24"/>
                <w:lang w:val="en-US" w:eastAsia="zh-CN" w:bidi="ar-SA"/>
              </w:rPr>
              <w:t>2.加强“两法衔接”平台建设及推广应用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培训次数</w:t>
            </w:r>
          </w:p>
        </w:tc>
        <w:tc>
          <w:tcPr>
            <w:tcW w:w="2835" w:type="dxa"/>
            <w:vAlign w:val="center"/>
          </w:tcPr>
          <w:p>
            <w:pPr>
              <w:pStyle w:val="10"/>
            </w:pPr>
            <w:r>
              <w:t>培训次数</w:t>
            </w:r>
          </w:p>
        </w:tc>
        <w:tc>
          <w:tcPr>
            <w:tcW w:w="2551" w:type="dxa"/>
            <w:vAlign w:val="center"/>
          </w:tcPr>
          <w:p>
            <w:pPr>
              <w:pStyle w:val="10"/>
              <w:rPr>
                <w:rFonts w:hint="eastAsia" w:eastAsia="方正书宋_GBK"/>
                <w:lang w:val="en-US" w:eastAsia="zh-CN"/>
              </w:rPr>
            </w:pPr>
            <w:r>
              <w:t>≥</w:t>
            </w:r>
            <w:r>
              <w:rPr>
                <w:rFonts w:hint="eastAsia"/>
                <w:lang w:val="en-US" w:eastAsia="zh-CN"/>
              </w:rPr>
              <w:t>2</w:t>
            </w:r>
          </w:p>
        </w:tc>
        <w:tc>
          <w:tcPr>
            <w:tcW w:w="2268" w:type="dxa"/>
            <w:vAlign w:val="center"/>
          </w:tcPr>
          <w:p>
            <w:pPr>
              <w:pStyle w:val="10"/>
            </w:pPr>
            <w:r>
              <w:t>“两法衔接”平台建设方案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100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专项项目按期验收率</w:t>
            </w:r>
          </w:p>
        </w:tc>
        <w:tc>
          <w:tcPr>
            <w:tcW w:w="2835" w:type="dxa"/>
            <w:vAlign w:val="center"/>
          </w:tcPr>
          <w:p>
            <w:pPr>
              <w:pStyle w:val="10"/>
            </w:pPr>
            <w:r>
              <w:t>专项项目按期验收率</w:t>
            </w:r>
          </w:p>
        </w:tc>
        <w:tc>
          <w:tcPr>
            <w:tcW w:w="2551" w:type="dxa"/>
            <w:vAlign w:val="center"/>
          </w:tcPr>
          <w:p>
            <w:pPr>
              <w:pStyle w:val="10"/>
            </w:pPr>
            <w:r>
              <w:t>100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年终决算报告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业务开展保障率(%)</w:t>
            </w:r>
          </w:p>
        </w:tc>
        <w:tc>
          <w:tcPr>
            <w:tcW w:w="2835" w:type="dxa"/>
            <w:vAlign w:val="center"/>
          </w:tcPr>
          <w:p>
            <w:pPr>
              <w:pStyle w:val="10"/>
            </w:pPr>
            <w:r>
              <w:t>业务开展保障率(%)</w:t>
            </w:r>
          </w:p>
        </w:tc>
        <w:tc>
          <w:tcPr>
            <w:tcW w:w="2551" w:type="dxa"/>
            <w:vAlign w:val="center"/>
          </w:tcPr>
          <w:p>
            <w:pPr>
              <w:pStyle w:val="10"/>
            </w:pPr>
            <w:r>
              <w:t>≥90</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持续推进两法衔接工作</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河北省群众安全感和政法队伍满意度调查结果　</w:t>
            </w:r>
          </w:p>
        </w:tc>
      </w:tr>
    </w:tbl>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numPr>
          <w:ilvl w:val="0"/>
          <w:numId w:val="0"/>
        </w:numPr>
        <w:tabs>
          <w:tab w:val="left" w:pos="479"/>
        </w:tabs>
        <w:bidi w:val="0"/>
        <w:ind w:firstLine="562" w:firstLineChars="200"/>
        <w:jc w:val="left"/>
        <w:rPr>
          <w:rFonts w:hint="eastAsia"/>
          <w:lang w:val="en-US" w:eastAsia="zh-CN"/>
        </w:rPr>
      </w:pPr>
      <w:r>
        <w:rPr>
          <w:rFonts w:ascii="方正仿宋_GBK" w:hAnsi="方正仿宋_GBK" w:eastAsia="方正仿宋_GBK" w:cs="方正仿宋_GBK"/>
          <w:b/>
          <w:color w:val="000000"/>
          <w:sz w:val="28"/>
        </w:rPr>
        <w:t>2、办案业务费及临时办公场所保障绩效目标</w:t>
      </w:r>
    </w:p>
    <w:tbl>
      <w:tblPr>
        <w:tblStyle w:val="2"/>
        <w:tblpPr w:leftFromText="180" w:rightFromText="180" w:vertAnchor="text" w:horzAnchor="page" w:tblpX="1281" w:tblpY="95"/>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7" w:hRule="atLeast"/>
          <w:tblHeader/>
        </w:trPr>
        <w:tc>
          <w:tcPr>
            <w:tcW w:w="1417" w:type="dxa"/>
            <w:vAlign w:val="center"/>
          </w:tcPr>
          <w:p>
            <w:pPr>
              <w:pStyle w:val="8"/>
            </w:pPr>
            <w:r>
              <w:t>绩效目标</w:t>
            </w:r>
          </w:p>
        </w:tc>
        <w:tc>
          <w:tcPr>
            <w:tcW w:w="12757" w:type="dxa"/>
            <w:gridSpan w:val="5"/>
            <w:vAlign w:val="center"/>
          </w:tcPr>
          <w:p>
            <w:pPr>
              <w:pStyle w:val="10"/>
            </w:pPr>
            <w:r>
              <w:t>1.通过购买物业、安保、食堂服务，提供安全、卫生的工作环境，实现机关有序稳定运转。</w:t>
            </w:r>
          </w:p>
          <w:p>
            <w:pPr>
              <w:pStyle w:val="8"/>
              <w:tabs>
                <w:tab w:val="left" w:pos="2736"/>
              </w:tabs>
              <w:jc w:val="left"/>
              <w:rPr>
                <w:rFonts w:hint="eastAsia" w:eastAsia="方正书宋_GBK"/>
                <w:lang w:eastAsia="zh-CN"/>
              </w:rPr>
            </w:pPr>
            <w:r>
              <w:rPr>
                <w:rFonts w:ascii="方正书宋_GBK" w:hAnsi="方正书宋_GBK" w:eastAsia="方正书宋_GBK" w:cs="方正书宋_GBK"/>
                <w:b w:val="0"/>
                <w:kern w:val="2"/>
                <w:sz w:val="21"/>
                <w:szCs w:val="24"/>
                <w:lang w:val="en-US" w:eastAsia="zh-CN" w:bidi="ar-SA"/>
              </w:rPr>
              <w:t>2.通过业务经费开支，充分履行检察职能，着力提高办案质效，推动四大检察工作全面协调充分发展，实现检察工作更上新台阶。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检察业务覆盖领域　</w:t>
            </w:r>
          </w:p>
        </w:tc>
        <w:tc>
          <w:tcPr>
            <w:tcW w:w="2835" w:type="dxa"/>
            <w:vAlign w:val="center"/>
          </w:tcPr>
          <w:p>
            <w:pPr>
              <w:pStyle w:val="10"/>
            </w:pPr>
            <w:r>
              <w:t>检察业务工作开展能覆盖种类数量</w:t>
            </w:r>
          </w:p>
        </w:tc>
        <w:tc>
          <w:tcPr>
            <w:tcW w:w="2551" w:type="dxa"/>
            <w:vAlign w:val="center"/>
          </w:tcPr>
          <w:p>
            <w:pPr>
              <w:pStyle w:val="10"/>
            </w:pPr>
            <w:r>
              <w:t>4协同推进四大检察</w:t>
            </w:r>
          </w:p>
        </w:tc>
        <w:tc>
          <w:tcPr>
            <w:tcW w:w="2268" w:type="dxa"/>
            <w:vAlign w:val="center"/>
          </w:tcPr>
          <w:p>
            <w:pPr>
              <w:pStyle w:val="10"/>
            </w:pPr>
            <w:r>
              <w:t>《中华人民共和国刑事诉讼法》、《中华人民共和国民事诉讼法》、《人民检察院组织法》、年度工作总结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案件合格率　</w:t>
            </w:r>
          </w:p>
        </w:tc>
        <w:tc>
          <w:tcPr>
            <w:tcW w:w="2835" w:type="dxa"/>
            <w:vAlign w:val="center"/>
          </w:tcPr>
          <w:p>
            <w:pPr>
              <w:pStyle w:val="10"/>
            </w:pPr>
            <w:r>
              <w:t>案件合格率　</w:t>
            </w:r>
          </w:p>
        </w:tc>
        <w:tc>
          <w:tcPr>
            <w:tcW w:w="2551" w:type="dxa"/>
            <w:vAlign w:val="center"/>
          </w:tcPr>
          <w:p>
            <w:pPr>
              <w:pStyle w:val="10"/>
            </w:pPr>
            <w:r>
              <w:t>≥85案件符合评查标准率应大于85%</w:t>
            </w:r>
          </w:p>
        </w:tc>
        <w:tc>
          <w:tcPr>
            <w:tcW w:w="2268" w:type="dxa"/>
            <w:vAlign w:val="center"/>
          </w:tcPr>
          <w:p>
            <w:pPr>
              <w:pStyle w:val="10"/>
            </w:pPr>
            <w:r>
              <w:t>　《中华人民共和国刑事诉讼法》、《中华人民共和国民事诉讼法》、《人民检察院组织法》、年度工作总结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案件及时办结率</w:t>
            </w:r>
          </w:p>
        </w:tc>
        <w:tc>
          <w:tcPr>
            <w:tcW w:w="2835" w:type="dxa"/>
            <w:vAlign w:val="center"/>
          </w:tcPr>
          <w:p>
            <w:pPr>
              <w:pStyle w:val="10"/>
            </w:pPr>
            <w:r>
              <w:t>及时办结案件占收案数量比例</w:t>
            </w:r>
          </w:p>
        </w:tc>
        <w:tc>
          <w:tcPr>
            <w:tcW w:w="2551" w:type="dxa"/>
            <w:vAlign w:val="center"/>
          </w:tcPr>
          <w:p>
            <w:pPr>
              <w:pStyle w:val="10"/>
            </w:pPr>
            <w:r>
              <w:t>≥85 案件及时办结率应大于 85%</w:t>
            </w:r>
          </w:p>
        </w:tc>
        <w:tc>
          <w:tcPr>
            <w:tcW w:w="2268" w:type="dxa"/>
            <w:vAlign w:val="center"/>
          </w:tcPr>
          <w:p>
            <w:pPr>
              <w:pStyle w:val="10"/>
            </w:pPr>
            <w:r>
              <w:t>　《中华人民共和国刑事诉讼法》、《中华人民共和国民事诉讼法》、《人民检察院组织法》、年度工作总结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6" w:hRule="atLeast"/>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　</w:t>
            </w:r>
          </w:p>
        </w:tc>
        <w:tc>
          <w:tcPr>
            <w:tcW w:w="2835" w:type="dxa"/>
            <w:vAlign w:val="center"/>
          </w:tcPr>
          <w:p>
            <w:pPr>
              <w:pStyle w:val="10"/>
            </w:pPr>
            <w:r>
              <w:t>严格执行预算，控制各项成本　</w:t>
            </w:r>
          </w:p>
        </w:tc>
        <w:tc>
          <w:tcPr>
            <w:tcW w:w="2551" w:type="dxa"/>
            <w:vAlign w:val="center"/>
          </w:tcPr>
          <w:p>
            <w:pPr>
              <w:pStyle w:val="10"/>
            </w:pPr>
            <w:r>
              <w:t>不超过预算限额</w:t>
            </w:r>
          </w:p>
        </w:tc>
        <w:tc>
          <w:tcPr>
            <w:tcW w:w="2268" w:type="dxa"/>
            <w:vAlign w:val="center"/>
          </w:tcPr>
          <w:p>
            <w:pPr>
              <w:pStyle w:val="10"/>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社会效益指标</w:t>
            </w:r>
          </w:p>
        </w:tc>
        <w:tc>
          <w:tcPr>
            <w:tcW w:w="2835" w:type="dxa"/>
            <w:vAlign w:val="center"/>
          </w:tcPr>
          <w:p>
            <w:pPr>
              <w:pStyle w:val="10"/>
            </w:pPr>
            <w:r>
              <w:t>通过提高办案质效提高司法公信力　</w:t>
            </w:r>
          </w:p>
        </w:tc>
        <w:tc>
          <w:tcPr>
            <w:tcW w:w="2551" w:type="dxa"/>
            <w:vAlign w:val="center"/>
          </w:tcPr>
          <w:p>
            <w:pPr>
              <w:pStyle w:val="10"/>
            </w:pPr>
            <w:r>
              <w:t>全面履行检察职责，提高办案质效</w:t>
            </w:r>
          </w:p>
        </w:tc>
        <w:tc>
          <w:tcPr>
            <w:tcW w:w="2268" w:type="dxa"/>
            <w:vAlign w:val="center"/>
          </w:tcPr>
          <w:p>
            <w:pPr>
              <w:pStyle w:val="10"/>
            </w:pPr>
            <w:r>
              <w:t>　《中华人民共和国刑事诉讼法》、《中华人民共和国民事诉讼法》、《人民检察院组织法》、年度工作总结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业务保障能力提升情况</w:t>
            </w:r>
          </w:p>
        </w:tc>
        <w:tc>
          <w:tcPr>
            <w:tcW w:w="2835" w:type="dxa"/>
            <w:vAlign w:val="center"/>
          </w:tcPr>
          <w:p>
            <w:pPr>
              <w:pStyle w:val="10"/>
            </w:pPr>
            <w:r>
              <w:t>业务保障能力提升情况</w:t>
            </w:r>
          </w:p>
        </w:tc>
        <w:tc>
          <w:tcPr>
            <w:tcW w:w="2551" w:type="dxa"/>
            <w:vAlign w:val="center"/>
          </w:tcPr>
          <w:p>
            <w:pPr>
              <w:pStyle w:val="10"/>
            </w:pPr>
            <w:r>
              <w:t>全面保障检察业务开展</w:t>
            </w:r>
          </w:p>
        </w:tc>
        <w:tc>
          <w:tcPr>
            <w:tcW w:w="2268" w:type="dxa"/>
            <w:vAlign w:val="center"/>
          </w:tcPr>
          <w:p>
            <w:pPr>
              <w:pStyle w:val="10"/>
            </w:pPr>
            <w:r>
              <w:t>　《中华人民共和国刑事诉讼法》、《中华人民共和国民事诉讼法》、《人民检察院组织法》、年度工作总结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社会对检察工作的满意度　</w:t>
            </w:r>
          </w:p>
        </w:tc>
        <w:tc>
          <w:tcPr>
            <w:tcW w:w="2551" w:type="dxa"/>
            <w:vAlign w:val="center"/>
          </w:tcPr>
          <w:p>
            <w:pPr>
              <w:pStyle w:val="10"/>
            </w:pPr>
            <w:r>
              <w:t>≥85社会调查满意度大于 85 分　　</w:t>
            </w:r>
          </w:p>
        </w:tc>
        <w:tc>
          <w:tcPr>
            <w:tcW w:w="2268" w:type="dxa"/>
            <w:vAlign w:val="center"/>
          </w:tcPr>
          <w:p>
            <w:pPr>
              <w:pStyle w:val="10"/>
            </w:pPr>
            <w:r>
              <w:t>河北省群众安全感和政法队伍满意调查结果　</w:t>
            </w:r>
          </w:p>
        </w:tc>
      </w:tr>
    </w:tbl>
    <w:p>
      <w:pPr>
        <w:bidi w:val="0"/>
        <w:rPr>
          <w:lang w:val="en-US" w:eastAsia="zh-CN"/>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ind w:firstLine="562"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3、检察专网涉密信息系统分级保护项目绩效目标表</w:t>
      </w:r>
    </w:p>
    <w:tbl>
      <w:tblPr>
        <w:tblStyle w:val="2"/>
        <w:tblpPr w:leftFromText="180" w:rightFromText="180" w:vertAnchor="text" w:horzAnchor="page" w:tblpX="1301" w:tblpY="52"/>
        <w:tblOverlap w:val="never"/>
        <w:tblW w:w="1427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4"/>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514" w:type="dxa"/>
            <w:vAlign w:val="center"/>
          </w:tcPr>
          <w:p>
            <w:pPr>
              <w:pStyle w:val="8"/>
            </w:pPr>
            <w:r>
              <w:t>绩效目标</w:t>
            </w:r>
          </w:p>
        </w:tc>
        <w:tc>
          <w:tcPr>
            <w:tcW w:w="12757" w:type="dxa"/>
            <w:gridSpan w:val="5"/>
            <w:vAlign w:val="center"/>
          </w:tcPr>
          <w:p>
            <w:pPr>
              <w:pStyle w:val="10"/>
            </w:pPr>
            <w:r>
              <w:t>1.联通两级院涉密网络数据</w:t>
            </w:r>
          </w:p>
          <w:p>
            <w:pPr>
              <w:pStyle w:val="8"/>
              <w:jc w:val="both"/>
            </w:pPr>
            <w:r>
              <w:rPr>
                <w:b w:val="0"/>
                <w:bCs/>
              </w:rPr>
              <w:t>2.提升全院基础设施环境，保障院内系统的安全可靠应用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514"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14" w:type="dxa"/>
            <w:vMerge w:val="restart"/>
            <w:vAlign w:val="center"/>
          </w:tcPr>
          <w:p>
            <w:pPr>
              <w:pStyle w:val="9"/>
              <w:ind w:right="-50" w:rightChars="-24"/>
            </w:pPr>
            <w:r>
              <w:t>产出指标</w:t>
            </w:r>
          </w:p>
        </w:tc>
        <w:tc>
          <w:tcPr>
            <w:tcW w:w="2268" w:type="dxa"/>
            <w:vAlign w:val="center"/>
          </w:tcPr>
          <w:p>
            <w:pPr>
              <w:pStyle w:val="10"/>
            </w:pPr>
            <w:r>
              <w:t>数量指标</w:t>
            </w:r>
          </w:p>
        </w:tc>
        <w:tc>
          <w:tcPr>
            <w:tcW w:w="2835" w:type="dxa"/>
            <w:vAlign w:val="center"/>
          </w:tcPr>
          <w:p>
            <w:pPr>
              <w:pStyle w:val="10"/>
            </w:pPr>
            <w:r>
              <w:t>设备购置数</w:t>
            </w:r>
          </w:p>
        </w:tc>
        <w:tc>
          <w:tcPr>
            <w:tcW w:w="2835" w:type="dxa"/>
            <w:vAlign w:val="center"/>
          </w:tcPr>
          <w:p>
            <w:pPr>
              <w:pStyle w:val="10"/>
            </w:pPr>
            <w:r>
              <w:t>按照规划完成设备购置</w:t>
            </w:r>
          </w:p>
        </w:tc>
        <w:tc>
          <w:tcPr>
            <w:tcW w:w="2551" w:type="dxa"/>
            <w:vAlign w:val="center"/>
          </w:tcPr>
          <w:p>
            <w:pPr>
              <w:pStyle w:val="10"/>
            </w:pPr>
            <w:r>
              <w:t>配置数量按照规划数量进行配置</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14" w:type="dxa"/>
            <w:vMerge w:val="continue"/>
            <w:vAlign w:val="center"/>
          </w:tcPr>
          <w:p/>
        </w:tc>
        <w:tc>
          <w:tcPr>
            <w:tcW w:w="2268" w:type="dxa"/>
            <w:vAlign w:val="center"/>
          </w:tcPr>
          <w:p>
            <w:pPr>
              <w:pStyle w:val="10"/>
            </w:pPr>
            <w:r>
              <w:t>质量指标</w:t>
            </w:r>
          </w:p>
        </w:tc>
        <w:tc>
          <w:tcPr>
            <w:tcW w:w="2835" w:type="dxa"/>
            <w:vAlign w:val="center"/>
          </w:tcPr>
          <w:p>
            <w:pPr>
              <w:pStyle w:val="10"/>
            </w:pPr>
            <w:r>
              <w:t>设施、设备通过验收率</w:t>
            </w:r>
          </w:p>
        </w:tc>
        <w:tc>
          <w:tcPr>
            <w:tcW w:w="2835" w:type="dxa"/>
            <w:vAlign w:val="center"/>
          </w:tcPr>
          <w:p>
            <w:pPr>
              <w:pStyle w:val="10"/>
            </w:pPr>
            <w:r>
              <w:t>设备、设施验收通过率（%）</w:t>
            </w:r>
          </w:p>
        </w:tc>
        <w:tc>
          <w:tcPr>
            <w:tcW w:w="2551" w:type="dxa"/>
            <w:vAlign w:val="center"/>
          </w:tcPr>
          <w:p>
            <w:pPr>
              <w:pStyle w:val="10"/>
            </w:pPr>
            <w:r>
              <w:t>≥100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14"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项目完成时间</w:t>
            </w:r>
          </w:p>
        </w:tc>
        <w:tc>
          <w:tcPr>
            <w:tcW w:w="2835" w:type="dxa"/>
            <w:vAlign w:val="center"/>
          </w:tcPr>
          <w:p>
            <w:pPr>
              <w:pStyle w:val="10"/>
            </w:pPr>
            <w:r>
              <w:t>项目开始施工到完成时间（月）</w:t>
            </w:r>
          </w:p>
        </w:tc>
        <w:tc>
          <w:tcPr>
            <w:tcW w:w="2551" w:type="dxa"/>
            <w:vAlign w:val="center"/>
          </w:tcPr>
          <w:p>
            <w:pPr>
              <w:pStyle w:val="10"/>
            </w:pPr>
            <w:r>
              <w:t>≤6</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14" w:type="dxa"/>
            <w:vMerge w:val="continue"/>
            <w:vAlign w:val="center"/>
          </w:tcPr>
          <w:p/>
        </w:tc>
        <w:tc>
          <w:tcPr>
            <w:tcW w:w="2268" w:type="dxa"/>
            <w:vAlign w:val="center"/>
          </w:tcPr>
          <w:p>
            <w:pPr>
              <w:pStyle w:val="10"/>
            </w:pPr>
            <w:r>
              <w:t>成本指标</w:t>
            </w:r>
          </w:p>
        </w:tc>
        <w:tc>
          <w:tcPr>
            <w:tcW w:w="2835" w:type="dxa"/>
            <w:vAlign w:val="center"/>
          </w:tcPr>
          <w:p>
            <w:pPr>
              <w:pStyle w:val="10"/>
            </w:pPr>
            <w:r>
              <w:t>预算成本控制</w:t>
            </w:r>
          </w:p>
        </w:tc>
        <w:tc>
          <w:tcPr>
            <w:tcW w:w="2835" w:type="dxa"/>
            <w:vAlign w:val="center"/>
          </w:tcPr>
          <w:p>
            <w:pPr>
              <w:pStyle w:val="10"/>
            </w:pPr>
            <w:r>
              <w:t>严格控制成本，不超出项目预算数（万元）</w:t>
            </w:r>
          </w:p>
        </w:tc>
        <w:tc>
          <w:tcPr>
            <w:tcW w:w="2551" w:type="dxa"/>
            <w:vAlign w:val="center"/>
          </w:tcPr>
          <w:p>
            <w:pPr>
              <w:pStyle w:val="10"/>
            </w:pPr>
            <w:r>
              <w:t>≤1605.2</w:t>
            </w:r>
          </w:p>
        </w:tc>
        <w:tc>
          <w:tcPr>
            <w:tcW w:w="2268" w:type="dxa"/>
            <w:vAlign w:val="center"/>
          </w:tcPr>
          <w:p>
            <w:pPr>
              <w:pStyle w:val="10"/>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14"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资金使用率</w:t>
            </w:r>
          </w:p>
        </w:tc>
        <w:tc>
          <w:tcPr>
            <w:tcW w:w="2835" w:type="dxa"/>
            <w:vAlign w:val="center"/>
          </w:tcPr>
          <w:p>
            <w:pPr>
              <w:pStyle w:val="10"/>
            </w:pPr>
            <w:r>
              <w:t>资金使用效益（%）</w:t>
            </w:r>
          </w:p>
        </w:tc>
        <w:tc>
          <w:tcPr>
            <w:tcW w:w="2551" w:type="dxa"/>
            <w:vAlign w:val="center"/>
          </w:tcPr>
          <w:p>
            <w:pPr>
              <w:pStyle w:val="10"/>
            </w:pPr>
            <w:r>
              <w:t>≥90</w:t>
            </w:r>
          </w:p>
        </w:tc>
        <w:tc>
          <w:tcPr>
            <w:tcW w:w="2268" w:type="dxa"/>
            <w:vAlign w:val="center"/>
          </w:tcPr>
          <w:p>
            <w:pPr>
              <w:pStyle w:val="10"/>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14"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保障涉密工作</w:t>
            </w:r>
          </w:p>
        </w:tc>
        <w:tc>
          <w:tcPr>
            <w:tcW w:w="2835" w:type="dxa"/>
            <w:vAlign w:val="center"/>
          </w:tcPr>
          <w:p>
            <w:pPr>
              <w:pStyle w:val="10"/>
            </w:pPr>
            <w:r>
              <w:t>保障检察机关涉密工作</w:t>
            </w:r>
          </w:p>
        </w:tc>
        <w:tc>
          <w:tcPr>
            <w:tcW w:w="2551" w:type="dxa"/>
            <w:vAlign w:val="center"/>
          </w:tcPr>
          <w:p>
            <w:pPr>
              <w:pStyle w:val="10"/>
            </w:pPr>
            <w:r>
              <w:t>提高涉密信息保护能力，保障检察工作开展</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14"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涉密负责人员满意度</w:t>
            </w:r>
          </w:p>
        </w:tc>
        <w:tc>
          <w:tcPr>
            <w:tcW w:w="2835" w:type="dxa"/>
            <w:vAlign w:val="center"/>
          </w:tcPr>
          <w:p>
            <w:pPr>
              <w:pStyle w:val="10"/>
            </w:pPr>
            <w:r>
              <w:t>负责涉密信息相关人员（%）</w:t>
            </w:r>
          </w:p>
        </w:tc>
        <w:tc>
          <w:tcPr>
            <w:tcW w:w="2551" w:type="dxa"/>
            <w:vAlign w:val="center"/>
          </w:tcPr>
          <w:p>
            <w:pPr>
              <w:pStyle w:val="10"/>
            </w:pPr>
            <w:r>
              <w:t>≥95</w:t>
            </w:r>
          </w:p>
        </w:tc>
        <w:tc>
          <w:tcPr>
            <w:tcW w:w="2268" w:type="dxa"/>
            <w:vAlign w:val="center"/>
          </w:tcPr>
          <w:p>
            <w:pPr>
              <w:pStyle w:val="10"/>
            </w:pPr>
            <w:r>
              <w:t>年度工作考核报告</w:t>
            </w:r>
          </w:p>
        </w:tc>
      </w:tr>
    </w:tbl>
    <w:p>
      <w:pPr>
        <w:bidi w:val="0"/>
        <w:rPr>
          <w:rFonts w:asciiTheme="minorHAnsi" w:hAnsiTheme="minorHAnsi" w:eastAsiaTheme="minorEastAsia" w:cstheme="minorBidi"/>
          <w:kern w:val="2"/>
          <w:sz w:val="21"/>
          <w:szCs w:val="24"/>
          <w:lang w:val="en-US" w:eastAsia="zh-CN" w:bidi="ar-SA"/>
        </w:rPr>
      </w:pPr>
    </w:p>
    <w:p>
      <w:pPr>
        <w:bidi w:val="0"/>
        <w:jc w:val="left"/>
        <w:rPr>
          <w:lang w:val="en-US" w:eastAsia="zh-CN"/>
        </w:rPr>
      </w:pPr>
    </w:p>
    <w:p>
      <w:pPr>
        <w:tabs>
          <w:tab w:val="left" w:pos="1066"/>
        </w:tabs>
        <w:bidi w:val="0"/>
        <w:jc w:val="left"/>
        <w:rPr>
          <w:rFonts w:hint="default"/>
          <w:lang w:val="en-US" w:eastAsia="zh-CN"/>
        </w:rPr>
      </w:pPr>
    </w:p>
    <w:p>
      <w:pPr>
        <w:tabs>
          <w:tab w:val="left" w:pos="1066"/>
        </w:tabs>
        <w:bidi w:val="0"/>
        <w:jc w:val="left"/>
        <w:rPr>
          <w:rFonts w:hint="default"/>
          <w:lang w:val="en-US" w:eastAsia="zh-CN"/>
        </w:rPr>
      </w:pPr>
    </w:p>
    <w:p>
      <w:pPr>
        <w:tabs>
          <w:tab w:val="left" w:pos="1066"/>
        </w:tabs>
        <w:bidi w:val="0"/>
        <w:jc w:val="left"/>
        <w:rPr>
          <w:rFonts w:hint="default"/>
          <w:lang w:val="en-US" w:eastAsia="zh-CN"/>
        </w:rPr>
      </w:pPr>
    </w:p>
    <w:p>
      <w:pPr>
        <w:tabs>
          <w:tab w:val="left" w:pos="1066"/>
        </w:tabs>
        <w:bidi w:val="0"/>
        <w:jc w:val="left"/>
        <w:rPr>
          <w:rFonts w:hint="default"/>
          <w:lang w:val="en-US" w:eastAsia="zh-CN"/>
        </w:rPr>
      </w:pPr>
    </w:p>
    <w:p>
      <w:pPr>
        <w:tabs>
          <w:tab w:val="left" w:pos="1066"/>
        </w:tabs>
        <w:bidi w:val="0"/>
        <w:jc w:val="left"/>
        <w:rPr>
          <w:rFonts w:hint="default"/>
          <w:lang w:val="en-US" w:eastAsia="zh-CN"/>
        </w:rPr>
        <w:sectPr>
          <w:pgSz w:w="16840" w:h="11900" w:orient="landscape"/>
          <w:pgMar w:top="1361" w:right="1020" w:bottom="1134" w:left="1020" w:header="720" w:footer="720" w:gutter="0"/>
          <w:cols w:space="720" w:num="1"/>
        </w:sectPr>
      </w:pPr>
    </w:p>
    <w:p>
      <w:pPr>
        <w:spacing w:line="2" w:lineRule="exact"/>
        <w:ind w:left="218" w:leftChars="104" w:firstLine="0" w:firstLineChars="0"/>
        <w:jc w:val="center"/>
      </w:pPr>
      <w:r>
        <w:rPr>
          <w:rFonts w:ascii="方正书宋_GBK" w:hAnsi="方正书宋_GBK" w:eastAsia="方正书宋_GBK" w:cs="方正书宋_GBK"/>
          <w:color w:val="000000"/>
          <w:sz w:val="18"/>
        </w:rPr>
        <w:t xml:space="preserve"> </w:t>
      </w:r>
    </w:p>
    <w:p>
      <w:pPr>
        <w:tabs>
          <w:tab w:val="left" w:pos="210"/>
        </w:tabs>
        <w:ind w:left="218" w:leftChars="104" w:firstLine="343" w:firstLineChars="122"/>
      </w:pPr>
      <w:r>
        <w:rPr>
          <w:rFonts w:ascii="方正仿宋_GBK" w:hAnsi="方正仿宋_GBK" w:eastAsia="方正仿宋_GBK" w:cs="方正仿宋_GBK"/>
          <w:b/>
          <w:color w:val="000000"/>
          <w:sz w:val="28"/>
        </w:rPr>
        <w:t>4、检察专网设备换装绩效目标表</w:t>
      </w:r>
    </w:p>
    <w:tbl>
      <w:tblPr>
        <w:tblStyle w:val="2"/>
        <w:tblpPr w:leftFromText="180" w:rightFromText="180" w:vertAnchor="text" w:horzAnchor="page" w:tblpX="1315" w:tblpY="18"/>
        <w:tblOverlap w:val="never"/>
        <w:tblW w:w="142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2268"/>
        <w:gridCol w:w="2835"/>
        <w:gridCol w:w="2835"/>
        <w:gridCol w:w="2551"/>
        <w:gridCol w:w="2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567" w:type="dxa"/>
            <w:vAlign w:val="center"/>
          </w:tcPr>
          <w:p>
            <w:pPr>
              <w:pStyle w:val="8"/>
            </w:pPr>
            <w:r>
              <w:t>绩效目标</w:t>
            </w:r>
          </w:p>
        </w:tc>
        <w:tc>
          <w:tcPr>
            <w:tcW w:w="12683" w:type="dxa"/>
            <w:gridSpan w:val="5"/>
            <w:vAlign w:val="center"/>
          </w:tcPr>
          <w:p>
            <w:pPr>
              <w:pStyle w:val="8"/>
              <w:numPr>
                <w:ilvl w:val="0"/>
                <w:numId w:val="2"/>
              </w:numPr>
              <w:jc w:val="both"/>
              <w:rPr>
                <w:rFonts w:hint="eastAsia"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为检察办案办公提供强有力支持</w:t>
            </w:r>
          </w:p>
          <w:p>
            <w:pPr>
              <w:pStyle w:val="8"/>
              <w:numPr>
                <w:ilvl w:val="0"/>
                <w:numId w:val="2"/>
              </w:numPr>
              <w:jc w:val="both"/>
              <w:rPr>
                <w:rFonts w:hint="eastAsia"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做好涉密保障工作提供有力支持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56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19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6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购置数</w:t>
            </w:r>
          </w:p>
        </w:tc>
        <w:tc>
          <w:tcPr>
            <w:tcW w:w="2835" w:type="dxa"/>
            <w:vAlign w:val="center"/>
          </w:tcPr>
          <w:p>
            <w:pPr>
              <w:pStyle w:val="10"/>
            </w:pPr>
            <w:r>
              <w:t>按照规划完成设备配置</w:t>
            </w:r>
          </w:p>
        </w:tc>
        <w:tc>
          <w:tcPr>
            <w:tcW w:w="2551" w:type="dxa"/>
            <w:vAlign w:val="center"/>
          </w:tcPr>
          <w:p>
            <w:pPr>
              <w:pStyle w:val="10"/>
            </w:pPr>
            <w:r>
              <w:t>配置数量按照规划数量进行配置</w:t>
            </w:r>
          </w:p>
        </w:tc>
        <w:tc>
          <w:tcPr>
            <w:tcW w:w="2194"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67" w:type="dxa"/>
            <w:vMerge w:val="continue"/>
            <w:vAlign w:val="center"/>
          </w:tcPr>
          <w:p/>
        </w:tc>
        <w:tc>
          <w:tcPr>
            <w:tcW w:w="2268" w:type="dxa"/>
            <w:vAlign w:val="center"/>
          </w:tcPr>
          <w:p>
            <w:pPr>
              <w:pStyle w:val="10"/>
            </w:pPr>
            <w:r>
              <w:t>质量指标</w:t>
            </w:r>
          </w:p>
        </w:tc>
        <w:tc>
          <w:tcPr>
            <w:tcW w:w="2835" w:type="dxa"/>
            <w:vAlign w:val="center"/>
          </w:tcPr>
          <w:p>
            <w:pPr>
              <w:pStyle w:val="10"/>
            </w:pPr>
            <w:r>
              <w:t>设备、设施验收通过率（%）</w:t>
            </w:r>
          </w:p>
        </w:tc>
        <w:tc>
          <w:tcPr>
            <w:tcW w:w="2835" w:type="dxa"/>
            <w:vAlign w:val="center"/>
          </w:tcPr>
          <w:p>
            <w:pPr>
              <w:pStyle w:val="10"/>
            </w:pPr>
            <w:r>
              <w:t>设备、设施验收通过率（%）</w:t>
            </w:r>
          </w:p>
        </w:tc>
        <w:tc>
          <w:tcPr>
            <w:tcW w:w="2551" w:type="dxa"/>
            <w:vAlign w:val="center"/>
          </w:tcPr>
          <w:p>
            <w:pPr>
              <w:pStyle w:val="10"/>
            </w:pPr>
            <w:r>
              <w:t>100设备完全符合国家的要求</w:t>
            </w:r>
          </w:p>
        </w:tc>
        <w:tc>
          <w:tcPr>
            <w:tcW w:w="2194"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6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及时配置资产为办公办案提供保障</w:t>
            </w:r>
          </w:p>
        </w:tc>
        <w:tc>
          <w:tcPr>
            <w:tcW w:w="2551" w:type="dxa"/>
            <w:vAlign w:val="center"/>
          </w:tcPr>
          <w:p>
            <w:pPr>
              <w:pStyle w:val="10"/>
            </w:pPr>
            <w:r>
              <w:t>当年完成相关设备的配置</w:t>
            </w:r>
          </w:p>
        </w:tc>
        <w:tc>
          <w:tcPr>
            <w:tcW w:w="2194"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67" w:type="dxa"/>
            <w:vMerge w:val="continue"/>
            <w:vAlign w:val="center"/>
          </w:tcPr>
          <w:p/>
        </w:tc>
        <w:tc>
          <w:tcPr>
            <w:tcW w:w="2268" w:type="dxa"/>
            <w:vAlign w:val="center"/>
          </w:tcPr>
          <w:p>
            <w:pPr>
              <w:pStyle w:val="10"/>
            </w:pPr>
            <w:r>
              <w:t>成本指标</w:t>
            </w:r>
          </w:p>
        </w:tc>
        <w:tc>
          <w:tcPr>
            <w:tcW w:w="2835" w:type="dxa"/>
            <w:vAlign w:val="center"/>
          </w:tcPr>
          <w:p>
            <w:pPr>
              <w:pStyle w:val="10"/>
            </w:pPr>
            <w:r>
              <w:t>预算执行</w:t>
            </w:r>
          </w:p>
        </w:tc>
        <w:tc>
          <w:tcPr>
            <w:tcW w:w="2835" w:type="dxa"/>
            <w:vAlign w:val="center"/>
          </w:tcPr>
          <w:p>
            <w:pPr>
              <w:pStyle w:val="10"/>
            </w:pPr>
            <w:r>
              <w:t>严格预算执行，控制各项成本</w:t>
            </w:r>
          </w:p>
        </w:tc>
        <w:tc>
          <w:tcPr>
            <w:tcW w:w="2551" w:type="dxa"/>
            <w:vAlign w:val="center"/>
          </w:tcPr>
          <w:p>
            <w:pPr>
              <w:pStyle w:val="10"/>
            </w:pPr>
            <w:r>
              <w:t>不超当年预算限额</w:t>
            </w:r>
          </w:p>
        </w:tc>
        <w:tc>
          <w:tcPr>
            <w:tcW w:w="2194" w:type="dxa"/>
            <w:vAlign w:val="center"/>
          </w:tcPr>
          <w:p>
            <w:pPr>
              <w:pStyle w:val="10"/>
            </w:pPr>
            <w:r>
              <w:t>年终决算报告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6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≥90资金使用效率达到90%以上</w:t>
            </w:r>
          </w:p>
        </w:tc>
        <w:tc>
          <w:tcPr>
            <w:tcW w:w="2194" w:type="dxa"/>
            <w:vAlign w:val="center"/>
          </w:tcPr>
          <w:p>
            <w:pPr>
              <w:pStyle w:val="10"/>
            </w:pPr>
            <w:r>
              <w:t>年终决算报告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6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持续为办案提供帮助</w:t>
            </w:r>
          </w:p>
        </w:tc>
        <w:tc>
          <w:tcPr>
            <w:tcW w:w="2194" w:type="dxa"/>
            <w:vAlign w:val="center"/>
          </w:tcPr>
          <w:p>
            <w:pPr>
              <w:pStyle w:val="10"/>
            </w:pPr>
            <w:r>
              <w:t>年度工作考核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6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设备使用人员满意度</w:t>
            </w:r>
          </w:p>
        </w:tc>
        <w:tc>
          <w:tcPr>
            <w:tcW w:w="2835" w:type="dxa"/>
            <w:vAlign w:val="center"/>
          </w:tcPr>
          <w:p>
            <w:pPr>
              <w:pStyle w:val="10"/>
            </w:pPr>
            <w:r>
              <w:t>设备配发后使用人员满意度</w:t>
            </w:r>
          </w:p>
        </w:tc>
        <w:tc>
          <w:tcPr>
            <w:tcW w:w="2551" w:type="dxa"/>
            <w:vAlign w:val="center"/>
          </w:tcPr>
          <w:p>
            <w:pPr>
              <w:pStyle w:val="10"/>
            </w:pPr>
            <w:r>
              <w:t>≥95设备能够满足配发人员的需求</w:t>
            </w:r>
          </w:p>
        </w:tc>
        <w:tc>
          <w:tcPr>
            <w:tcW w:w="2194" w:type="dxa"/>
            <w:vAlign w:val="center"/>
          </w:tcPr>
          <w:p>
            <w:pPr>
              <w:pStyle w:val="10"/>
            </w:pPr>
            <w:r>
              <w:t>年度工作考核</w:t>
            </w:r>
          </w:p>
        </w:tc>
      </w:tr>
    </w:tbl>
    <w:p/>
    <w:p>
      <w:pPr>
        <w:tabs>
          <w:tab w:val="left" w:pos="384"/>
        </w:tabs>
        <w:bidi w:val="0"/>
        <w:jc w:val="left"/>
        <w:rPr>
          <w:rFonts w:asciiTheme="minorHAnsi" w:hAnsiTheme="minorHAnsi" w:eastAsiaTheme="minorEastAsia" w:cstheme="minorBidi"/>
          <w:kern w:val="2"/>
          <w:sz w:val="21"/>
          <w:szCs w:val="24"/>
          <w:lang w:val="en-US" w:eastAsia="zh-CN" w:bidi="ar-SA"/>
        </w:rPr>
        <w:sectPr>
          <w:pgSz w:w="16840" w:h="11900" w:orient="landscape"/>
          <w:pgMar w:top="1361" w:right="1020" w:bottom="1134" w:left="1020" w:header="720" w:footer="720" w:gutter="0"/>
          <w:cols w:space="720" w:num="1"/>
        </w:sectPr>
      </w:pPr>
      <w:r>
        <w:rPr>
          <w:rFonts w:hint="eastAsia" w:cstheme="minorBidi"/>
          <w:kern w:val="2"/>
          <w:sz w:val="21"/>
          <w:szCs w:val="24"/>
          <w:lang w:val="en-US" w:eastAsia="zh-CN" w:bidi="ar-SA"/>
        </w:rPr>
        <w:tab/>
      </w:r>
    </w:p>
    <w:p>
      <w:pPr>
        <w:spacing w:line="2" w:lineRule="exact"/>
        <w:jc w:val="center"/>
      </w:pPr>
      <w:r>
        <w:rPr>
          <w:rFonts w:ascii="方正书宋_GBK" w:hAnsi="方正书宋_GBK" w:eastAsia="方正书宋_GBK" w:cs="方正书宋_GBK"/>
          <w:color w:val="000000"/>
          <w:sz w:val="18"/>
        </w:rPr>
        <w:t xml:space="preserve"> </w:t>
      </w:r>
    </w:p>
    <w:tbl>
      <w:tblPr>
        <w:tblStyle w:val="2"/>
        <w:tblpPr w:leftFromText="180" w:rightFromText="180" w:vertAnchor="text" w:horzAnchor="page" w:tblpX="1315" w:tblpY="393"/>
        <w:tblOverlap w:val="never"/>
        <w:tblW w:w="143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547" w:type="dxa"/>
            <w:vAlign w:val="center"/>
          </w:tcPr>
          <w:p>
            <w:pPr>
              <w:pStyle w:val="8"/>
            </w:pPr>
            <w:r>
              <w:t>绩效目标</w:t>
            </w:r>
          </w:p>
        </w:tc>
        <w:tc>
          <w:tcPr>
            <w:tcW w:w="12757" w:type="dxa"/>
            <w:gridSpan w:val="5"/>
            <w:vAlign w:val="center"/>
          </w:tcPr>
          <w:p>
            <w:pPr>
              <w:pStyle w:val="10"/>
            </w:pPr>
            <w:r>
              <w:t>1.通过该项目的实施，确保我院涉密信息系统软硬件设备正常运转。</w:t>
            </w:r>
            <w:r>
              <w:tab/>
            </w:r>
            <w:r>
              <w:tab/>
            </w:r>
            <w:r>
              <w:tab/>
            </w:r>
            <w:r>
              <w:tab/>
            </w:r>
            <w:r>
              <w:tab/>
            </w:r>
            <w:r>
              <w:tab/>
            </w:r>
          </w:p>
          <w:p>
            <w:pPr>
              <w:pStyle w:val="8"/>
              <w:jc w:val="both"/>
            </w:pPr>
            <w:r>
              <w:rPr>
                <w:rFonts w:ascii="方正书宋_GBK" w:hAnsi="方正书宋_GBK" w:eastAsia="方正书宋_GBK" w:cs="方正书宋_GBK"/>
                <w:b w:val="0"/>
                <w:kern w:val="2"/>
                <w:sz w:val="21"/>
                <w:szCs w:val="24"/>
                <w:lang w:val="en-US" w:eastAsia="zh-CN" w:bidi="ar-SA"/>
              </w:rPr>
              <w:t>2.按照有关规定，组织专业人员每年对我院涉密信息系统进行安全检查，确保涉密运行合法合规。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54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4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运维工作的数量</w:t>
            </w:r>
          </w:p>
        </w:tc>
        <w:tc>
          <w:tcPr>
            <w:tcW w:w="2835" w:type="dxa"/>
            <w:vAlign w:val="center"/>
          </w:tcPr>
          <w:p>
            <w:pPr>
              <w:pStyle w:val="10"/>
            </w:pPr>
            <w:r>
              <w:t>运维工作的数量</w:t>
            </w:r>
          </w:p>
        </w:tc>
        <w:tc>
          <w:tcPr>
            <w:tcW w:w="2551" w:type="dxa"/>
            <w:vAlign w:val="center"/>
          </w:tcPr>
          <w:p>
            <w:pPr>
              <w:pStyle w:val="10"/>
            </w:pPr>
            <w:r>
              <w:t>≥1000对我院涉密信息化软硬件设备的日常维护、升级保障次数</w:t>
            </w:r>
          </w:p>
        </w:tc>
        <w:tc>
          <w:tcPr>
            <w:tcW w:w="2268" w:type="dxa"/>
            <w:vAlign w:val="center"/>
          </w:tcPr>
          <w:p>
            <w:pPr>
              <w:pStyle w:val="10"/>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47" w:type="dxa"/>
            <w:vMerge w:val="continue"/>
            <w:vAlign w:val="center"/>
          </w:tcPr>
          <w:p/>
        </w:tc>
        <w:tc>
          <w:tcPr>
            <w:tcW w:w="2268" w:type="dxa"/>
            <w:vAlign w:val="center"/>
          </w:tcPr>
          <w:p>
            <w:pPr>
              <w:pStyle w:val="10"/>
            </w:pPr>
            <w:r>
              <w:t>质量指标</w:t>
            </w:r>
          </w:p>
        </w:tc>
        <w:tc>
          <w:tcPr>
            <w:tcW w:w="2835" w:type="dxa"/>
            <w:vAlign w:val="center"/>
          </w:tcPr>
          <w:p>
            <w:pPr>
              <w:pStyle w:val="10"/>
            </w:pPr>
            <w:r>
              <w:t>运维事故</w:t>
            </w:r>
          </w:p>
        </w:tc>
        <w:tc>
          <w:tcPr>
            <w:tcW w:w="2835" w:type="dxa"/>
            <w:vAlign w:val="center"/>
          </w:tcPr>
          <w:p>
            <w:pPr>
              <w:pStyle w:val="10"/>
            </w:pPr>
            <w:r>
              <w:t>因运维不利产生事故</w:t>
            </w:r>
          </w:p>
        </w:tc>
        <w:tc>
          <w:tcPr>
            <w:tcW w:w="2551" w:type="dxa"/>
            <w:vAlign w:val="center"/>
          </w:tcPr>
          <w:p>
            <w:pPr>
              <w:pStyle w:val="10"/>
            </w:pPr>
            <w:r>
              <w:t>&lt;1因运维工作不利造成不可挽回的损失认定为事故</w:t>
            </w:r>
          </w:p>
        </w:tc>
        <w:tc>
          <w:tcPr>
            <w:tcW w:w="2268" w:type="dxa"/>
            <w:vAlign w:val="center"/>
          </w:tcPr>
          <w:p>
            <w:pPr>
              <w:pStyle w:val="10"/>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47" w:type="dxa"/>
            <w:vMerge w:val="continue"/>
            <w:vAlign w:val="center"/>
          </w:tcPr>
          <w:p/>
        </w:tc>
        <w:tc>
          <w:tcPr>
            <w:tcW w:w="2268" w:type="dxa"/>
            <w:vAlign w:val="center"/>
          </w:tcPr>
          <w:p>
            <w:pPr>
              <w:pStyle w:val="10"/>
            </w:pPr>
            <w:r>
              <w:t>成本指标</w:t>
            </w:r>
          </w:p>
        </w:tc>
        <w:tc>
          <w:tcPr>
            <w:tcW w:w="2835" w:type="dxa"/>
            <w:vAlign w:val="center"/>
          </w:tcPr>
          <w:p>
            <w:pPr>
              <w:pStyle w:val="10"/>
            </w:pPr>
            <w:r>
              <w:t>设备配件更换率</w:t>
            </w:r>
          </w:p>
        </w:tc>
        <w:tc>
          <w:tcPr>
            <w:tcW w:w="2835" w:type="dxa"/>
            <w:vAlign w:val="center"/>
          </w:tcPr>
          <w:p>
            <w:pPr>
              <w:pStyle w:val="10"/>
            </w:pPr>
            <w:r>
              <w:t>运维较好，减少设备更换</w:t>
            </w:r>
          </w:p>
        </w:tc>
        <w:tc>
          <w:tcPr>
            <w:tcW w:w="2551" w:type="dxa"/>
            <w:vAlign w:val="center"/>
          </w:tcPr>
          <w:p>
            <w:pPr>
              <w:pStyle w:val="10"/>
            </w:pPr>
            <w:r>
              <w:t>≤10通过运维，使得设备更换减少，更换比率降低</w:t>
            </w:r>
          </w:p>
        </w:tc>
        <w:tc>
          <w:tcPr>
            <w:tcW w:w="2268" w:type="dxa"/>
            <w:vAlign w:val="center"/>
          </w:tcPr>
          <w:p>
            <w:pPr>
              <w:pStyle w:val="10"/>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4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设备故障再发生率</w:t>
            </w:r>
          </w:p>
        </w:tc>
        <w:tc>
          <w:tcPr>
            <w:tcW w:w="2835" w:type="dxa"/>
            <w:vAlign w:val="center"/>
          </w:tcPr>
          <w:p>
            <w:pPr>
              <w:pStyle w:val="10"/>
            </w:pPr>
            <w:r>
              <w:t>运维所涉信息化设备多次发生同种故障率</w:t>
            </w:r>
          </w:p>
        </w:tc>
        <w:tc>
          <w:tcPr>
            <w:tcW w:w="2551" w:type="dxa"/>
            <w:vAlign w:val="center"/>
          </w:tcPr>
          <w:p>
            <w:pPr>
              <w:pStyle w:val="10"/>
            </w:pPr>
            <w:r>
              <w:t>&lt;30运维所涉信息化设备多次发生同种故障率</w:t>
            </w:r>
          </w:p>
        </w:tc>
        <w:tc>
          <w:tcPr>
            <w:tcW w:w="2268" w:type="dxa"/>
            <w:vAlign w:val="center"/>
          </w:tcPr>
          <w:p>
            <w:pPr>
              <w:pStyle w:val="10"/>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4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持续为涉密项目提供保障</w:t>
            </w:r>
          </w:p>
        </w:tc>
        <w:tc>
          <w:tcPr>
            <w:tcW w:w="2268" w:type="dxa"/>
            <w:vAlign w:val="center"/>
          </w:tcPr>
          <w:p>
            <w:pPr>
              <w:pStyle w:val="10"/>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54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运维服务满意度</w:t>
            </w:r>
          </w:p>
        </w:tc>
        <w:tc>
          <w:tcPr>
            <w:tcW w:w="2835" w:type="dxa"/>
            <w:vAlign w:val="center"/>
          </w:tcPr>
          <w:p>
            <w:pPr>
              <w:pStyle w:val="10"/>
            </w:pPr>
            <w:r>
              <w:t>全院干警对本院运维的满意度</w:t>
            </w:r>
          </w:p>
        </w:tc>
        <w:tc>
          <w:tcPr>
            <w:tcW w:w="2551" w:type="dxa"/>
            <w:vAlign w:val="center"/>
          </w:tcPr>
          <w:p>
            <w:pPr>
              <w:pStyle w:val="10"/>
            </w:pPr>
            <w:r>
              <w:t>≥90全院干警对运维的满意度</w:t>
            </w:r>
          </w:p>
        </w:tc>
        <w:tc>
          <w:tcPr>
            <w:tcW w:w="2268" w:type="dxa"/>
            <w:vAlign w:val="center"/>
          </w:tcPr>
          <w:p>
            <w:pPr>
              <w:pStyle w:val="10"/>
            </w:pPr>
            <w:r>
              <w:t>年度运维报告</w:t>
            </w:r>
          </w:p>
        </w:tc>
      </w:tr>
    </w:tbl>
    <w:p>
      <w:pPr>
        <w:tabs>
          <w:tab w:val="left" w:pos="630"/>
        </w:tabs>
        <w:ind w:firstLine="562" w:firstLineChars="200"/>
      </w:pPr>
      <w:r>
        <w:rPr>
          <w:rFonts w:ascii="方正仿宋_GBK" w:hAnsi="方正仿宋_GBK" w:eastAsia="方正仿宋_GBK" w:cs="方正仿宋_GBK"/>
          <w:b/>
          <w:color w:val="000000"/>
          <w:sz w:val="28"/>
        </w:rPr>
        <w:t>5、涉密项目租线及维护绩效目标表</w:t>
      </w:r>
    </w:p>
    <w:p>
      <w:pPr>
        <w:tabs>
          <w:tab w:val="left" w:pos="643"/>
        </w:tabs>
        <w:bidi w:val="0"/>
        <w:jc w:val="left"/>
        <w:rPr>
          <w:rFonts w:asciiTheme="minorHAnsi" w:hAnsiTheme="minorHAnsi" w:eastAsiaTheme="minorEastAsia" w:cstheme="minorBidi"/>
          <w:kern w:val="2"/>
          <w:sz w:val="21"/>
          <w:szCs w:val="24"/>
          <w:lang w:val="en-US" w:eastAsia="zh-CN" w:bidi="ar-SA"/>
        </w:rPr>
        <w:sectPr>
          <w:pgSz w:w="16840" w:h="11900" w:orient="landscape"/>
          <w:pgMar w:top="1361" w:right="1020" w:bottom="1134" w:left="1020" w:header="720" w:footer="720" w:gutter="0"/>
          <w:cols w:space="720" w:num="1"/>
        </w:sectPr>
      </w:pPr>
    </w:p>
    <w:p>
      <w:pPr>
        <w:spacing w:line="2" w:lineRule="exact"/>
        <w:jc w:val="center"/>
      </w:pPr>
      <w:r>
        <w:rPr>
          <w:rFonts w:ascii="方正书宋_GBK" w:hAnsi="方正书宋_GBK" w:eastAsia="方正书宋_GBK" w:cs="方正书宋_GBK"/>
          <w:color w:val="000000"/>
          <w:sz w:val="18"/>
        </w:rPr>
        <w:t xml:space="preserve"> </w:t>
      </w:r>
    </w:p>
    <w:p>
      <w:pPr>
        <w:ind w:firstLine="560"/>
      </w:pPr>
      <w:r>
        <w:rPr>
          <w:rFonts w:ascii="方正仿宋_GBK" w:hAnsi="方正仿宋_GBK" w:eastAsia="方正仿宋_GBK" w:cs="方正仿宋_GBK"/>
          <w:b/>
          <w:color w:val="000000"/>
          <w:sz w:val="28"/>
        </w:rPr>
        <w:t>6、实验室运维及库房租赁绩效目标表</w:t>
      </w:r>
    </w:p>
    <w:tbl>
      <w:tblPr>
        <w:tblStyle w:val="2"/>
        <w:tblpPr w:leftFromText="180" w:rightFromText="180" w:vertAnchor="text" w:horzAnchor="page" w:tblpX="1315" w:tblpY="71"/>
        <w:tblOverlap w:val="never"/>
        <w:tblW w:w="143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9"/>
        <w:gridCol w:w="2268"/>
        <w:gridCol w:w="2835"/>
        <w:gridCol w:w="2835"/>
        <w:gridCol w:w="2551"/>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99" w:type="dxa"/>
            <w:vAlign w:val="center"/>
          </w:tcPr>
          <w:p>
            <w:pPr>
              <w:pStyle w:val="8"/>
            </w:pPr>
            <w:r>
              <w:t>绩效目标</w:t>
            </w:r>
          </w:p>
        </w:tc>
        <w:tc>
          <w:tcPr>
            <w:tcW w:w="12819" w:type="dxa"/>
            <w:gridSpan w:val="5"/>
            <w:vAlign w:val="center"/>
          </w:tcPr>
          <w:p>
            <w:pPr>
              <w:pStyle w:val="10"/>
            </w:pPr>
            <w:r>
              <w:t>1.通过该项目的实施，确保我院司法鉴定实验室的软硬件能够正常运转，遇到问题及时解决。</w:t>
            </w:r>
          </w:p>
          <w:p>
            <w:pPr>
              <w:pStyle w:val="10"/>
            </w:pPr>
            <w:r>
              <w:t>2.通过该项目的实施，确保我院年实验室专用备件库房租赁后保障备件、药剂的安全。</w:t>
            </w:r>
          </w:p>
          <w:p>
            <w:pPr>
              <w:pStyle w:val="8"/>
              <w:jc w:val="both"/>
            </w:pPr>
            <w:r>
              <w:rPr>
                <w:rFonts w:ascii="方正书宋_GBK" w:hAnsi="方正书宋_GBK" w:eastAsia="方正书宋_GBK" w:cs="方正书宋_GBK"/>
                <w:b w:val="0"/>
                <w:kern w:val="2"/>
                <w:sz w:val="21"/>
                <w:szCs w:val="24"/>
                <w:lang w:val="en-US" w:eastAsia="zh-CN" w:bidi="ar-SA"/>
              </w:rPr>
              <w:t>3.通过该项目的实施，确保巡察、检查符合规定，避免安全事故发生。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99"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330"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99"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专业巡检次数</w:t>
            </w:r>
          </w:p>
        </w:tc>
        <w:tc>
          <w:tcPr>
            <w:tcW w:w="2835" w:type="dxa"/>
            <w:vAlign w:val="center"/>
          </w:tcPr>
          <w:p>
            <w:pPr>
              <w:pStyle w:val="10"/>
            </w:pPr>
            <w:r>
              <w:t>年度内对实验室的专业巡察、检查</w:t>
            </w:r>
          </w:p>
        </w:tc>
        <w:tc>
          <w:tcPr>
            <w:tcW w:w="2551" w:type="dxa"/>
            <w:vAlign w:val="center"/>
          </w:tcPr>
          <w:p>
            <w:pPr>
              <w:pStyle w:val="10"/>
            </w:pPr>
            <w:r>
              <w:t>≥12至少每月巡检一次</w:t>
            </w:r>
          </w:p>
        </w:tc>
        <w:tc>
          <w:tcPr>
            <w:tcW w:w="2330" w:type="dxa"/>
            <w:vAlign w:val="center"/>
          </w:tcPr>
          <w:p>
            <w:pPr>
              <w:pStyle w:val="10"/>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99" w:type="dxa"/>
            <w:vMerge w:val="continue"/>
            <w:vAlign w:val="center"/>
          </w:tcPr>
          <w:p/>
        </w:tc>
        <w:tc>
          <w:tcPr>
            <w:tcW w:w="2268" w:type="dxa"/>
            <w:vAlign w:val="center"/>
          </w:tcPr>
          <w:p>
            <w:pPr>
              <w:pStyle w:val="10"/>
            </w:pPr>
            <w:r>
              <w:t>质量指标</w:t>
            </w:r>
          </w:p>
        </w:tc>
        <w:tc>
          <w:tcPr>
            <w:tcW w:w="2835" w:type="dxa"/>
            <w:vAlign w:val="center"/>
          </w:tcPr>
          <w:p>
            <w:pPr>
              <w:pStyle w:val="10"/>
            </w:pPr>
            <w:r>
              <w:t>运维事故</w:t>
            </w:r>
          </w:p>
        </w:tc>
        <w:tc>
          <w:tcPr>
            <w:tcW w:w="2835" w:type="dxa"/>
            <w:vAlign w:val="center"/>
          </w:tcPr>
          <w:p>
            <w:pPr>
              <w:pStyle w:val="10"/>
            </w:pPr>
            <w:r>
              <w:t>因运维不利产生事故</w:t>
            </w:r>
          </w:p>
        </w:tc>
        <w:tc>
          <w:tcPr>
            <w:tcW w:w="2551" w:type="dxa"/>
            <w:vAlign w:val="center"/>
          </w:tcPr>
          <w:p>
            <w:pPr>
              <w:pStyle w:val="10"/>
            </w:pPr>
            <w:r>
              <w:t>&lt;1因运维工作不利造成不可挽回的损失认定为事故</w:t>
            </w:r>
          </w:p>
        </w:tc>
        <w:tc>
          <w:tcPr>
            <w:tcW w:w="2330" w:type="dxa"/>
            <w:vAlign w:val="center"/>
          </w:tcPr>
          <w:p>
            <w:pPr>
              <w:pStyle w:val="10"/>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99" w:type="dxa"/>
            <w:vMerge w:val="continue"/>
            <w:vAlign w:val="center"/>
          </w:tcPr>
          <w:p/>
        </w:tc>
        <w:tc>
          <w:tcPr>
            <w:tcW w:w="2268" w:type="dxa"/>
            <w:vAlign w:val="center"/>
          </w:tcPr>
          <w:p>
            <w:pPr>
              <w:pStyle w:val="10"/>
            </w:pPr>
            <w:r>
              <w:t>时效指标</w:t>
            </w:r>
          </w:p>
        </w:tc>
        <w:tc>
          <w:tcPr>
            <w:tcW w:w="2835" w:type="dxa"/>
            <w:vAlign w:val="center"/>
          </w:tcPr>
          <w:p>
            <w:pPr>
              <w:pStyle w:val="10"/>
            </w:pPr>
            <w:r>
              <w:t>问题解决率</w:t>
            </w:r>
          </w:p>
        </w:tc>
        <w:tc>
          <w:tcPr>
            <w:tcW w:w="2835" w:type="dxa"/>
            <w:vAlign w:val="center"/>
          </w:tcPr>
          <w:p>
            <w:pPr>
              <w:pStyle w:val="10"/>
            </w:pPr>
            <w:r>
              <w:t>运维问题当日解决率</w:t>
            </w:r>
          </w:p>
        </w:tc>
        <w:tc>
          <w:tcPr>
            <w:tcW w:w="2551" w:type="dxa"/>
            <w:vAlign w:val="center"/>
          </w:tcPr>
          <w:p>
            <w:pPr>
              <w:pStyle w:val="10"/>
            </w:pPr>
            <w:r>
              <w:t>≥95解决问题占全部运维问题的比率</w:t>
            </w:r>
          </w:p>
        </w:tc>
        <w:tc>
          <w:tcPr>
            <w:tcW w:w="2330" w:type="dxa"/>
            <w:vAlign w:val="center"/>
          </w:tcPr>
          <w:p>
            <w:pPr>
              <w:pStyle w:val="10"/>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99" w:type="dxa"/>
            <w:vMerge w:val="continue"/>
            <w:vAlign w:val="center"/>
          </w:tcPr>
          <w:p/>
        </w:tc>
        <w:tc>
          <w:tcPr>
            <w:tcW w:w="2268" w:type="dxa"/>
            <w:vAlign w:val="center"/>
          </w:tcPr>
          <w:p>
            <w:pPr>
              <w:pStyle w:val="10"/>
            </w:pPr>
            <w:r>
              <w:t>成本指标</w:t>
            </w:r>
          </w:p>
        </w:tc>
        <w:tc>
          <w:tcPr>
            <w:tcW w:w="2835" w:type="dxa"/>
            <w:vAlign w:val="center"/>
          </w:tcPr>
          <w:p>
            <w:pPr>
              <w:pStyle w:val="10"/>
            </w:pPr>
            <w:r>
              <w:t>设备配件更换率</w:t>
            </w:r>
          </w:p>
        </w:tc>
        <w:tc>
          <w:tcPr>
            <w:tcW w:w="2835" w:type="dxa"/>
            <w:vAlign w:val="center"/>
          </w:tcPr>
          <w:p>
            <w:pPr>
              <w:pStyle w:val="10"/>
            </w:pPr>
            <w:r>
              <w:t>运维较好，减少设备更换</w:t>
            </w:r>
          </w:p>
        </w:tc>
        <w:tc>
          <w:tcPr>
            <w:tcW w:w="2551" w:type="dxa"/>
            <w:vAlign w:val="center"/>
          </w:tcPr>
          <w:p>
            <w:pPr>
              <w:pStyle w:val="10"/>
            </w:pPr>
            <w:r>
              <w:t>≤10通过运维，使得设备更换减少，更换</w:t>
            </w:r>
          </w:p>
          <w:p>
            <w:pPr>
              <w:pStyle w:val="10"/>
            </w:pPr>
            <w:r>
              <w:t>比率降低</w:t>
            </w:r>
          </w:p>
        </w:tc>
        <w:tc>
          <w:tcPr>
            <w:tcW w:w="2330" w:type="dxa"/>
            <w:vAlign w:val="center"/>
          </w:tcPr>
          <w:p>
            <w:pPr>
              <w:pStyle w:val="10"/>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99"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设备故障再发生率</w:t>
            </w:r>
          </w:p>
        </w:tc>
        <w:tc>
          <w:tcPr>
            <w:tcW w:w="2835" w:type="dxa"/>
            <w:vAlign w:val="center"/>
          </w:tcPr>
          <w:p>
            <w:pPr>
              <w:pStyle w:val="10"/>
            </w:pPr>
            <w:r>
              <w:t>运维所涉信息化设备多次发生同种故障率</w:t>
            </w:r>
          </w:p>
        </w:tc>
        <w:tc>
          <w:tcPr>
            <w:tcW w:w="2551" w:type="dxa"/>
            <w:vAlign w:val="center"/>
          </w:tcPr>
          <w:p>
            <w:pPr>
              <w:pStyle w:val="10"/>
            </w:pPr>
            <w:r>
              <w:t>≤30运维所涉信息化设备多次发生同种故障率</w:t>
            </w:r>
          </w:p>
        </w:tc>
        <w:tc>
          <w:tcPr>
            <w:tcW w:w="2330" w:type="dxa"/>
            <w:vAlign w:val="center"/>
          </w:tcPr>
          <w:p>
            <w:pPr>
              <w:pStyle w:val="10"/>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99"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持续保障实验室发挥职能</w:t>
            </w:r>
          </w:p>
        </w:tc>
        <w:tc>
          <w:tcPr>
            <w:tcW w:w="2330" w:type="dxa"/>
            <w:vAlign w:val="center"/>
          </w:tcPr>
          <w:p>
            <w:pPr>
              <w:pStyle w:val="10"/>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99"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运维服务满意度</w:t>
            </w:r>
          </w:p>
        </w:tc>
        <w:tc>
          <w:tcPr>
            <w:tcW w:w="2835" w:type="dxa"/>
            <w:vAlign w:val="center"/>
          </w:tcPr>
          <w:p>
            <w:pPr>
              <w:pStyle w:val="10"/>
            </w:pPr>
            <w:r>
              <w:t>全院干警对实验室运维的满意度</w:t>
            </w:r>
          </w:p>
        </w:tc>
        <w:tc>
          <w:tcPr>
            <w:tcW w:w="2551" w:type="dxa"/>
            <w:vAlign w:val="center"/>
          </w:tcPr>
          <w:p>
            <w:pPr>
              <w:pStyle w:val="10"/>
            </w:pPr>
            <w:r>
              <w:t>≥90全院干警对运维的满意度</w:t>
            </w:r>
          </w:p>
        </w:tc>
        <w:tc>
          <w:tcPr>
            <w:tcW w:w="2330" w:type="dxa"/>
            <w:vAlign w:val="center"/>
          </w:tcPr>
          <w:p>
            <w:pPr>
              <w:pStyle w:val="10"/>
            </w:pPr>
            <w:r>
              <w:t>年度工作报告</w:t>
            </w:r>
          </w:p>
        </w:tc>
      </w:tr>
    </w:tbl>
    <w:p/>
    <w:p>
      <w:pPr>
        <w:tabs>
          <w:tab w:val="left" w:pos="834"/>
        </w:tabs>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834"/>
        </w:tabs>
        <w:bidi w:val="0"/>
        <w:jc w:val="left"/>
        <w:rPr>
          <w:rFonts w:hint="eastAsia" w:cstheme="minorBidi"/>
          <w:kern w:val="2"/>
          <w:sz w:val="21"/>
          <w:szCs w:val="24"/>
          <w:lang w:val="en-US" w:eastAsia="zh-CN" w:bidi="ar-SA"/>
        </w:rPr>
      </w:pPr>
    </w:p>
    <w:p>
      <w:pPr>
        <w:tabs>
          <w:tab w:val="left" w:pos="834"/>
        </w:tabs>
        <w:bidi w:val="0"/>
        <w:jc w:val="left"/>
        <w:rPr>
          <w:rFonts w:hint="eastAsia" w:cstheme="minorBidi"/>
          <w:kern w:val="2"/>
          <w:sz w:val="21"/>
          <w:szCs w:val="24"/>
          <w:lang w:val="en-US" w:eastAsia="zh-CN" w:bidi="ar-SA"/>
        </w:rPr>
      </w:pPr>
    </w:p>
    <w:p>
      <w:pPr>
        <w:tabs>
          <w:tab w:val="left" w:pos="834"/>
        </w:tabs>
        <w:bidi w:val="0"/>
        <w:jc w:val="left"/>
        <w:rPr>
          <w:rFonts w:hint="eastAsia" w:cstheme="minorBidi"/>
          <w:kern w:val="2"/>
          <w:sz w:val="21"/>
          <w:szCs w:val="24"/>
          <w:lang w:val="en-US" w:eastAsia="zh-CN" w:bidi="ar-SA"/>
        </w:rPr>
      </w:pPr>
    </w:p>
    <w:p>
      <w:pPr>
        <w:tabs>
          <w:tab w:val="left" w:pos="834"/>
        </w:tabs>
        <w:bidi w:val="0"/>
        <w:jc w:val="left"/>
        <w:rPr>
          <w:rFonts w:hint="eastAsia" w:cstheme="minorBidi"/>
          <w:kern w:val="2"/>
          <w:sz w:val="21"/>
          <w:szCs w:val="24"/>
          <w:lang w:val="en-US" w:eastAsia="zh-CN" w:bidi="ar-SA"/>
        </w:rPr>
      </w:pPr>
    </w:p>
    <w:p>
      <w:pPr>
        <w:tabs>
          <w:tab w:val="left" w:pos="834"/>
        </w:tabs>
        <w:bidi w:val="0"/>
        <w:jc w:val="left"/>
        <w:rPr>
          <w:rFonts w:hint="eastAsia" w:cstheme="minorBidi"/>
          <w:kern w:val="2"/>
          <w:sz w:val="21"/>
          <w:szCs w:val="24"/>
          <w:lang w:val="en-US" w:eastAsia="zh-CN" w:bidi="ar-SA"/>
        </w:rPr>
      </w:pPr>
    </w:p>
    <w:p>
      <w:pPr>
        <w:tabs>
          <w:tab w:val="left" w:pos="834"/>
        </w:tabs>
        <w:bidi w:val="0"/>
        <w:jc w:val="left"/>
        <w:rPr>
          <w:rFonts w:hint="eastAsia" w:cstheme="minorBidi"/>
          <w:kern w:val="2"/>
          <w:sz w:val="21"/>
          <w:szCs w:val="24"/>
          <w:lang w:val="en-US" w:eastAsia="zh-CN" w:bidi="ar-SA"/>
        </w:rPr>
      </w:pPr>
    </w:p>
    <w:p>
      <w:pPr>
        <w:tabs>
          <w:tab w:val="left" w:pos="834"/>
        </w:tabs>
        <w:bidi w:val="0"/>
        <w:jc w:val="left"/>
        <w:rPr>
          <w:rFonts w:hint="eastAsia" w:cstheme="minorBidi"/>
          <w:kern w:val="2"/>
          <w:sz w:val="21"/>
          <w:szCs w:val="24"/>
          <w:lang w:val="en-US" w:eastAsia="zh-CN" w:bidi="ar-SA"/>
        </w:rPr>
      </w:pPr>
    </w:p>
    <w:p>
      <w:pPr>
        <w:tabs>
          <w:tab w:val="left" w:pos="834"/>
        </w:tabs>
        <w:bidi w:val="0"/>
        <w:jc w:val="left"/>
        <w:rPr>
          <w:rFonts w:hint="eastAsia" w:cstheme="minorBidi"/>
          <w:kern w:val="2"/>
          <w:sz w:val="21"/>
          <w:szCs w:val="24"/>
          <w:lang w:val="en-US" w:eastAsia="zh-CN" w:bidi="ar-SA"/>
        </w:rPr>
      </w:pPr>
    </w:p>
    <w:p>
      <w:pPr>
        <w:tabs>
          <w:tab w:val="left" w:pos="834"/>
        </w:tabs>
        <w:bidi w:val="0"/>
        <w:jc w:val="left"/>
        <w:rPr>
          <w:rFonts w:hint="eastAsia" w:cstheme="minorBidi"/>
          <w:kern w:val="2"/>
          <w:sz w:val="21"/>
          <w:szCs w:val="24"/>
          <w:lang w:val="en-US" w:eastAsia="zh-CN" w:bidi="ar-SA"/>
        </w:rPr>
      </w:pPr>
    </w:p>
    <w:p>
      <w:pPr>
        <w:tabs>
          <w:tab w:val="left" w:pos="834"/>
        </w:tabs>
        <w:bidi w:val="0"/>
        <w:ind w:firstLine="562" w:firstLineChars="200"/>
        <w:jc w:val="left"/>
        <w:rPr>
          <w:rFonts w:ascii="方正仿宋_GBK" w:hAnsi="方正仿宋_GBK" w:eastAsia="方正仿宋_GBK" w:cs="方正仿宋_GBK"/>
          <w:b/>
          <w:color w:val="000000"/>
          <w:sz w:val="28"/>
        </w:rPr>
      </w:pPr>
    </w:p>
    <w:p>
      <w:pPr>
        <w:tabs>
          <w:tab w:val="left" w:pos="834"/>
        </w:tabs>
        <w:bidi w:val="0"/>
        <w:ind w:firstLine="562" w:firstLineChars="200"/>
        <w:jc w:val="left"/>
      </w:pPr>
      <w:r>
        <w:rPr>
          <w:rFonts w:ascii="方正仿宋_GBK" w:hAnsi="方正仿宋_GBK" w:eastAsia="方正仿宋_GBK" w:cs="方正仿宋_GBK"/>
          <w:b/>
          <w:color w:val="000000"/>
          <w:sz w:val="28"/>
        </w:rPr>
        <w:t>7、司法救助绩效目标表</w:t>
      </w:r>
    </w:p>
    <w:tbl>
      <w:tblPr>
        <w:tblStyle w:val="2"/>
        <w:tblpPr w:leftFromText="180" w:rightFromText="180" w:vertAnchor="text" w:horzAnchor="page" w:tblpX="1472" w:tblpY="140"/>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绩效目标</w:t>
            </w:r>
          </w:p>
        </w:tc>
        <w:tc>
          <w:tcPr>
            <w:tcW w:w="12757" w:type="dxa"/>
            <w:gridSpan w:val="5"/>
            <w:vAlign w:val="center"/>
          </w:tcPr>
          <w:p>
            <w:pPr>
              <w:pStyle w:val="10"/>
            </w:pPr>
            <w:r>
              <w:t>1.及时、足额、准确发放司法救助金，帮助申请人解决生活困境。</w:t>
            </w:r>
          </w:p>
          <w:p>
            <w:pPr>
              <w:pStyle w:val="10"/>
            </w:pPr>
            <w:r>
              <w:t>2.发放程序合法合规。</w:t>
            </w:r>
          </w:p>
          <w:p>
            <w:pPr>
              <w:pStyle w:val="8"/>
              <w:jc w:val="both"/>
            </w:pPr>
            <w:r>
              <w:rPr>
                <w:rFonts w:ascii="方正书宋_GBK" w:hAnsi="方正书宋_GBK" w:eastAsia="方正书宋_GBK" w:cs="方正书宋_GBK"/>
                <w:b w:val="0"/>
                <w:kern w:val="2"/>
                <w:sz w:val="21"/>
                <w:szCs w:val="24"/>
                <w:lang w:val="en-US" w:eastAsia="zh-CN" w:bidi="ar-SA"/>
              </w:rPr>
              <w:t>3.通过司法救助，让人民群众感受到司法公平正义，传递司法温度。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司法申请办结率　</w:t>
            </w:r>
          </w:p>
        </w:tc>
        <w:tc>
          <w:tcPr>
            <w:tcW w:w="2835" w:type="dxa"/>
            <w:vAlign w:val="center"/>
          </w:tcPr>
          <w:p>
            <w:pPr>
              <w:pStyle w:val="10"/>
            </w:pPr>
            <w:r>
              <w:t>将符合救助条件的司法救助申请提交政法委予以审核</w:t>
            </w:r>
          </w:p>
        </w:tc>
        <w:tc>
          <w:tcPr>
            <w:tcW w:w="2551" w:type="dxa"/>
            <w:vAlign w:val="center"/>
          </w:tcPr>
          <w:p>
            <w:pPr>
              <w:pStyle w:val="10"/>
            </w:pPr>
            <w:r>
              <w:t>100</w:t>
            </w:r>
          </w:p>
        </w:tc>
        <w:tc>
          <w:tcPr>
            <w:tcW w:w="2268" w:type="dxa"/>
            <w:vAlign w:val="center"/>
          </w:tcPr>
          <w:p>
            <w:pPr>
              <w:pStyle w:val="10"/>
            </w:pPr>
            <w:r>
              <w:t>《中华人民共和国刑事诉讼法》、《建立完善国家司法救助制度的意见（试行）》、《人民检察院国家司法救助工作细则（试行）》、《雄安新区建立国家司法救助制度实施办法》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司法救助金发放合规性</w:t>
            </w:r>
          </w:p>
        </w:tc>
        <w:tc>
          <w:tcPr>
            <w:tcW w:w="2835" w:type="dxa"/>
            <w:vAlign w:val="center"/>
          </w:tcPr>
          <w:p>
            <w:pPr>
              <w:pStyle w:val="10"/>
            </w:pPr>
            <w:r>
              <w:t>司法救助金的发放范围、发放标准和发放程</w:t>
            </w:r>
          </w:p>
          <w:p>
            <w:pPr>
              <w:pStyle w:val="10"/>
            </w:pPr>
            <w:r>
              <w:t>序符合相关法规制度的规定</w:t>
            </w:r>
          </w:p>
        </w:tc>
        <w:tc>
          <w:tcPr>
            <w:tcW w:w="2551" w:type="dxa"/>
            <w:vAlign w:val="center"/>
          </w:tcPr>
          <w:p>
            <w:pPr>
              <w:pStyle w:val="10"/>
            </w:pPr>
            <w:r>
              <w:t>发放工作符合新区实施办法的规定　</w:t>
            </w:r>
          </w:p>
        </w:tc>
        <w:tc>
          <w:tcPr>
            <w:tcW w:w="2268" w:type="dxa"/>
            <w:vAlign w:val="center"/>
          </w:tcPr>
          <w:p>
            <w:pPr>
              <w:pStyle w:val="10"/>
            </w:pPr>
            <w:r>
              <w:t>《中华人民共和国刑事诉讼法》、《建立完善国家司法救助制度的意见（试行）》、</w:t>
            </w:r>
          </w:p>
          <w:p>
            <w:pPr>
              <w:pStyle w:val="10"/>
            </w:pPr>
            <w:r>
              <w:t>《人民检察院国家司法救助工作细则（试行）》、《雄安新区建立国家司法救助制</w:t>
            </w:r>
          </w:p>
          <w:p>
            <w:pPr>
              <w:pStyle w:val="10"/>
            </w:pPr>
            <w:r>
              <w:t>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及时发放率</w:t>
            </w:r>
          </w:p>
        </w:tc>
        <w:tc>
          <w:tcPr>
            <w:tcW w:w="2835" w:type="dxa"/>
            <w:vAlign w:val="center"/>
          </w:tcPr>
          <w:p>
            <w:pPr>
              <w:pStyle w:val="10"/>
            </w:pPr>
            <w:r>
              <w:t>对于符合标准的申请人，满足发放条件起 2</w:t>
            </w:r>
          </w:p>
          <w:p>
            <w:pPr>
              <w:pStyle w:val="10"/>
            </w:pPr>
            <w:r>
              <w:t>个工作日内发放到位　</w:t>
            </w:r>
          </w:p>
        </w:tc>
        <w:tc>
          <w:tcPr>
            <w:tcW w:w="2551" w:type="dxa"/>
            <w:vAlign w:val="center"/>
          </w:tcPr>
          <w:p>
            <w:pPr>
              <w:pStyle w:val="10"/>
            </w:pPr>
            <w:r>
              <w:t>100</w:t>
            </w:r>
          </w:p>
        </w:tc>
        <w:tc>
          <w:tcPr>
            <w:tcW w:w="2268" w:type="dxa"/>
            <w:vAlign w:val="center"/>
          </w:tcPr>
          <w:p>
            <w:pPr>
              <w:pStyle w:val="10"/>
            </w:pPr>
            <w:r>
              <w:t>《中华人民共和国刑事诉讼法》、《建立完善国家司法救助制度的意见（试行）》、</w:t>
            </w:r>
          </w:p>
          <w:p>
            <w:pPr>
              <w:pStyle w:val="10"/>
            </w:pPr>
            <w:r>
              <w:t>《人民检察院国家司法救助工作细则（试行）》、《雄安新区建立国家司法救助制</w:t>
            </w:r>
          </w:p>
          <w:p>
            <w:pPr>
              <w:pStyle w:val="10"/>
            </w:pPr>
            <w:r>
              <w:t>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申请程序精简</w:t>
            </w:r>
          </w:p>
        </w:tc>
        <w:tc>
          <w:tcPr>
            <w:tcW w:w="2835" w:type="dxa"/>
            <w:vAlign w:val="center"/>
          </w:tcPr>
          <w:p>
            <w:pPr>
              <w:pStyle w:val="10"/>
            </w:pPr>
            <w:r>
              <w:t>提高办事效率，减少申请人申请成本和等待时</w:t>
            </w:r>
          </w:p>
          <w:p>
            <w:pPr>
              <w:pStyle w:val="10"/>
            </w:pPr>
            <w:r>
              <w:t>间。</w:t>
            </w:r>
          </w:p>
        </w:tc>
        <w:tc>
          <w:tcPr>
            <w:tcW w:w="2551" w:type="dxa"/>
            <w:vAlign w:val="center"/>
          </w:tcPr>
          <w:p>
            <w:pPr>
              <w:pStyle w:val="10"/>
            </w:pPr>
            <w:r>
              <w:t>做到 10 日内答复，2日内发放。</w:t>
            </w:r>
          </w:p>
        </w:tc>
        <w:tc>
          <w:tcPr>
            <w:tcW w:w="2268" w:type="dxa"/>
            <w:vAlign w:val="center"/>
          </w:tcPr>
          <w:p>
            <w:pPr>
              <w:pStyle w:val="10"/>
            </w:pPr>
            <w:r>
              <w:t>《雄安新区建立司法救助制度实施办法》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司法救助水平提高</w:t>
            </w:r>
          </w:p>
        </w:tc>
        <w:tc>
          <w:tcPr>
            <w:tcW w:w="2835" w:type="dxa"/>
            <w:vAlign w:val="center"/>
          </w:tcPr>
          <w:p>
            <w:pPr>
              <w:pStyle w:val="10"/>
            </w:pPr>
            <w:r>
              <w:t>司法救助工作从提交审核到完成救助金发放，</w:t>
            </w:r>
          </w:p>
          <w:p>
            <w:pPr>
              <w:pStyle w:val="10"/>
            </w:pPr>
            <w:r>
              <w:t>工作流程更加顺畅，工作水平不断提高</w:t>
            </w:r>
          </w:p>
        </w:tc>
        <w:tc>
          <w:tcPr>
            <w:tcW w:w="2551" w:type="dxa"/>
            <w:vAlign w:val="center"/>
          </w:tcPr>
          <w:p>
            <w:pPr>
              <w:pStyle w:val="10"/>
            </w:pPr>
            <w:r>
              <w:t>理顺工作程序，提高工作水平</w:t>
            </w:r>
          </w:p>
        </w:tc>
        <w:tc>
          <w:tcPr>
            <w:tcW w:w="2268" w:type="dxa"/>
            <w:vAlign w:val="center"/>
          </w:tcPr>
          <w:p>
            <w:pPr>
              <w:pStyle w:val="10"/>
            </w:pPr>
            <w:r>
              <w:t>《中华人民共和国刑事诉讼法》、《建立完善国家司法救助制度的意见（试行）》、</w:t>
            </w:r>
          </w:p>
          <w:p>
            <w:pPr>
              <w:pStyle w:val="10"/>
            </w:pPr>
            <w:r>
              <w:t>《人民检察院国家司法救助工作细则（试行）》、《雄安新区建立国家司法救助制</w:t>
            </w:r>
          </w:p>
          <w:p>
            <w:pPr>
              <w:pStyle w:val="10"/>
            </w:pPr>
            <w:r>
              <w:t>度实施办法》、年度工作报告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提高司法公信力　</w:t>
            </w:r>
          </w:p>
        </w:tc>
        <w:tc>
          <w:tcPr>
            <w:tcW w:w="2835" w:type="dxa"/>
            <w:vAlign w:val="center"/>
          </w:tcPr>
          <w:p>
            <w:pPr>
              <w:pStyle w:val="10"/>
            </w:pPr>
            <w:r>
              <w:t>通过司法救助工作的开展，及时让申请人得到</w:t>
            </w:r>
          </w:p>
          <w:p>
            <w:pPr>
              <w:pStyle w:val="10"/>
            </w:pPr>
            <w:r>
              <w:t>司法救助，增强人民群众体会到司法工作的信</w:t>
            </w:r>
          </w:p>
          <w:p>
            <w:pPr>
              <w:pStyle w:val="10"/>
            </w:pPr>
            <w:r>
              <w:t>任，提高司法公信力</w:t>
            </w:r>
          </w:p>
        </w:tc>
        <w:tc>
          <w:tcPr>
            <w:tcW w:w="2551" w:type="dxa"/>
            <w:vAlign w:val="center"/>
          </w:tcPr>
          <w:p>
            <w:pPr>
              <w:pStyle w:val="10"/>
            </w:pPr>
            <w:r>
              <w:t>通过救助让申请人，增加人民群众对司法工作的信任　</w:t>
            </w:r>
          </w:p>
        </w:tc>
        <w:tc>
          <w:tcPr>
            <w:tcW w:w="2268" w:type="dxa"/>
            <w:vAlign w:val="center"/>
          </w:tcPr>
          <w:p>
            <w:pPr>
              <w:pStyle w:val="10"/>
            </w:pPr>
            <w:r>
              <w:t>《中华人民共和国刑事诉讼法》、《建立完善国家司法救助制度的意见（试行）》、</w:t>
            </w:r>
          </w:p>
          <w:p>
            <w:pPr>
              <w:pStyle w:val="10"/>
            </w:pPr>
            <w:r>
              <w:t>《人民检察院国家司法救助工作细则（试行）》、《雄安新区建立国家司法救助制</w:t>
            </w:r>
          </w:p>
          <w:p>
            <w:pPr>
              <w:pStyle w:val="10"/>
            </w:pPr>
            <w:r>
              <w:t>度实施办法》、年度工作报告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申请人对司法救助工作的满意度　</w:t>
            </w:r>
          </w:p>
        </w:tc>
        <w:tc>
          <w:tcPr>
            <w:tcW w:w="2835" w:type="dxa"/>
            <w:vAlign w:val="center"/>
          </w:tcPr>
          <w:p>
            <w:pPr>
              <w:pStyle w:val="10"/>
            </w:pPr>
            <w:r>
              <w:t>申请人对检察机关受理申请、发放救助金，救</w:t>
            </w:r>
          </w:p>
          <w:p>
            <w:pPr>
              <w:pStyle w:val="10"/>
            </w:pPr>
            <w:r>
              <w:t>助申请人工作的满意度</w:t>
            </w:r>
          </w:p>
        </w:tc>
        <w:tc>
          <w:tcPr>
            <w:tcW w:w="2551" w:type="dxa"/>
            <w:vAlign w:val="center"/>
          </w:tcPr>
          <w:p>
            <w:pPr>
              <w:pStyle w:val="10"/>
            </w:pPr>
            <w:r>
              <w:t>≥95</w:t>
            </w:r>
          </w:p>
        </w:tc>
        <w:tc>
          <w:tcPr>
            <w:tcW w:w="2268" w:type="dxa"/>
            <w:vAlign w:val="center"/>
          </w:tcPr>
          <w:p>
            <w:pPr>
              <w:pStyle w:val="10"/>
            </w:pPr>
            <w:r>
              <w:t>河北省检察机关满意度评估报告</w:t>
            </w:r>
          </w:p>
        </w:tc>
      </w:tr>
    </w:tbl>
    <w:p>
      <w:pPr>
        <w:tabs>
          <w:tab w:val="left" w:pos="834"/>
        </w:tabs>
        <w:bidi w:val="0"/>
        <w:jc w:val="left"/>
        <w:rPr>
          <w:rFonts w:hint="eastAsia" w:cstheme="minorBidi"/>
          <w:kern w:val="2"/>
          <w:sz w:val="21"/>
          <w:szCs w:val="24"/>
          <w:lang w:val="en-US" w:eastAsia="zh-CN" w:bidi="ar-SA"/>
        </w:rPr>
      </w:pPr>
    </w:p>
    <w:p>
      <w:pPr>
        <w:spacing w:line="2" w:lineRule="exact"/>
        <w:jc w:val="center"/>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line="2" w:lineRule="exact"/>
        <w:jc w:val="center"/>
      </w:pPr>
      <w:r>
        <w:rPr>
          <w:rFonts w:ascii="方正书宋_GBK" w:hAnsi="方正书宋_GBK" w:eastAsia="方正书宋_GBK" w:cs="方正书宋_GBK"/>
          <w:color w:val="000000"/>
          <w:sz w:val="18"/>
        </w:rPr>
        <w:t xml:space="preserve"> </w:t>
      </w:r>
    </w:p>
    <w:p>
      <w:pPr>
        <w:ind w:firstLine="562" w:firstLineChars="200"/>
      </w:pPr>
      <w:r>
        <w:rPr>
          <w:rFonts w:ascii="方正仿宋_GBK" w:hAnsi="方正仿宋_GBK" w:eastAsia="方正仿宋_GBK" w:cs="方正仿宋_GBK"/>
          <w:b/>
          <w:color w:val="000000"/>
          <w:sz w:val="28"/>
        </w:rPr>
        <w:t>8、信息化线路租赁费绩效目标表</w:t>
      </w:r>
    </w:p>
    <w:tbl>
      <w:tblPr>
        <w:tblStyle w:val="2"/>
        <w:tblpPr w:leftFromText="180" w:rightFromText="180" w:vertAnchor="text" w:horzAnchor="page" w:tblpX="1492" w:tblpY="111"/>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绩效目标</w:t>
            </w:r>
          </w:p>
        </w:tc>
        <w:tc>
          <w:tcPr>
            <w:tcW w:w="12757" w:type="dxa"/>
            <w:gridSpan w:val="5"/>
            <w:vAlign w:val="center"/>
          </w:tcPr>
          <w:p>
            <w:pPr>
              <w:pStyle w:val="10"/>
            </w:pPr>
            <w:r>
              <w:t>1.租用线路实现检察工作信息化，提高办案质效　</w:t>
            </w:r>
          </w:p>
          <w:p>
            <w:pPr>
              <w:pStyle w:val="8"/>
              <w:jc w:val="both"/>
            </w:pPr>
            <w:r>
              <w:rPr>
                <w:rFonts w:ascii="方正书宋_GBK" w:hAnsi="方正书宋_GBK" w:eastAsia="方正书宋_GBK" w:cs="方正书宋_GBK"/>
                <w:b w:val="0"/>
                <w:kern w:val="2"/>
                <w:sz w:val="21"/>
                <w:szCs w:val="24"/>
                <w:lang w:val="en-US" w:eastAsia="zh-CN" w:bidi="ar-SA"/>
              </w:rPr>
              <w:t>2.购买社会服务，保障全媒体中心正常运营，加强舆情监控和分析应用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租用线路数</w:t>
            </w:r>
          </w:p>
        </w:tc>
        <w:tc>
          <w:tcPr>
            <w:tcW w:w="2835" w:type="dxa"/>
            <w:vAlign w:val="center"/>
          </w:tcPr>
          <w:p>
            <w:pPr>
              <w:pStyle w:val="10"/>
            </w:pPr>
            <w:r>
              <w:t>实现和新区数据中心、三县院及法律监督对象的互联互通，实现信息共享　</w:t>
            </w:r>
          </w:p>
        </w:tc>
        <w:tc>
          <w:tcPr>
            <w:tcW w:w="2551" w:type="dxa"/>
            <w:vAlign w:val="center"/>
          </w:tcPr>
          <w:p>
            <w:pPr>
              <w:pStyle w:val="10"/>
            </w:pPr>
            <w:r>
              <w:t>12条</w:t>
            </w:r>
          </w:p>
        </w:tc>
        <w:tc>
          <w:tcPr>
            <w:tcW w:w="2268" w:type="dxa"/>
            <w:vAlign w:val="center"/>
          </w:tcPr>
          <w:p>
            <w:pPr>
              <w:pStyle w:val="10"/>
            </w:pPr>
            <w:r>
              <w:t>年初工作计划、线路租赁合同、年终工作报告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线路匹配度</w:t>
            </w:r>
          </w:p>
        </w:tc>
        <w:tc>
          <w:tcPr>
            <w:tcW w:w="2835" w:type="dxa"/>
            <w:vAlign w:val="center"/>
          </w:tcPr>
          <w:p>
            <w:pPr>
              <w:pStyle w:val="10"/>
            </w:pPr>
            <w:r>
              <w:t>租用线路与各数据端口进行顺利联通，与软硬件能够兼容　</w:t>
            </w:r>
          </w:p>
        </w:tc>
        <w:tc>
          <w:tcPr>
            <w:tcW w:w="2551" w:type="dxa"/>
            <w:vAlign w:val="center"/>
          </w:tcPr>
          <w:p>
            <w:pPr>
              <w:pStyle w:val="10"/>
            </w:pPr>
            <w:r>
              <w:t>100</w:t>
            </w:r>
          </w:p>
        </w:tc>
        <w:tc>
          <w:tcPr>
            <w:tcW w:w="2268" w:type="dxa"/>
            <w:vAlign w:val="center"/>
          </w:tcPr>
          <w:p>
            <w:pPr>
              <w:pStyle w:val="10"/>
            </w:pPr>
            <w:r>
              <w:t>年度工作报告、线路租赁合同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报修及时恢复率　</w:t>
            </w:r>
          </w:p>
        </w:tc>
        <w:tc>
          <w:tcPr>
            <w:tcW w:w="2835" w:type="dxa"/>
            <w:vAlign w:val="center"/>
          </w:tcPr>
          <w:p>
            <w:pPr>
              <w:pStyle w:val="10"/>
            </w:pPr>
            <w:r>
              <w:t>线路出现故障报修后维修人员能够及时修复，达到正常使用状态，避免耽误工作　</w:t>
            </w:r>
          </w:p>
        </w:tc>
        <w:tc>
          <w:tcPr>
            <w:tcW w:w="2551" w:type="dxa"/>
            <w:vAlign w:val="center"/>
          </w:tcPr>
          <w:p>
            <w:pPr>
              <w:pStyle w:val="10"/>
            </w:pPr>
            <w:r>
              <w:t>≥95</w:t>
            </w:r>
          </w:p>
        </w:tc>
        <w:tc>
          <w:tcPr>
            <w:tcW w:w="2268" w:type="dxa"/>
            <w:vAlign w:val="center"/>
          </w:tcPr>
          <w:p>
            <w:pPr>
              <w:pStyle w:val="10"/>
            </w:pPr>
            <w:r>
              <w:t>年度工作报告，线路租赁合同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法律工作信息化水平</w:t>
            </w:r>
          </w:p>
        </w:tc>
        <w:tc>
          <w:tcPr>
            <w:tcW w:w="2835" w:type="dxa"/>
            <w:vAlign w:val="center"/>
          </w:tcPr>
          <w:p>
            <w:pPr>
              <w:pStyle w:val="10"/>
            </w:pPr>
            <w:r>
              <w:t>通过信息化技术应用，更有效地进行法律监督工作，提高工作质效　</w:t>
            </w:r>
          </w:p>
        </w:tc>
        <w:tc>
          <w:tcPr>
            <w:tcW w:w="2551" w:type="dxa"/>
            <w:vAlign w:val="center"/>
          </w:tcPr>
          <w:p>
            <w:pPr>
              <w:pStyle w:val="10"/>
            </w:pPr>
            <w:r>
              <w:t>利用信息化手段提高法律监督工作质效</w:t>
            </w:r>
          </w:p>
        </w:tc>
        <w:tc>
          <w:tcPr>
            <w:tcW w:w="2268" w:type="dxa"/>
            <w:vAlign w:val="center"/>
          </w:tcPr>
          <w:p>
            <w:pPr>
              <w:pStyle w:val="10"/>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明确工作重点</w:t>
            </w:r>
          </w:p>
        </w:tc>
        <w:tc>
          <w:tcPr>
            <w:tcW w:w="2835" w:type="dxa"/>
            <w:vAlign w:val="center"/>
          </w:tcPr>
          <w:p>
            <w:pPr>
              <w:pStyle w:val="10"/>
            </w:pPr>
            <w:r>
              <w:t>通过全媒体中心运维管理，加强媒体法制宣传力度　</w:t>
            </w:r>
          </w:p>
        </w:tc>
        <w:tc>
          <w:tcPr>
            <w:tcW w:w="2551" w:type="dxa"/>
            <w:vAlign w:val="center"/>
          </w:tcPr>
          <w:p>
            <w:pPr>
              <w:pStyle w:val="10"/>
            </w:pPr>
            <w:r>
              <w:t>加强媒体法制宣传力度　</w:t>
            </w:r>
          </w:p>
        </w:tc>
        <w:tc>
          <w:tcPr>
            <w:tcW w:w="2268" w:type="dxa"/>
            <w:vAlign w:val="center"/>
          </w:tcPr>
          <w:p>
            <w:pPr>
              <w:pStyle w:val="10"/>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检察工作人员满意度</w:t>
            </w:r>
          </w:p>
        </w:tc>
        <w:tc>
          <w:tcPr>
            <w:tcW w:w="2835" w:type="dxa"/>
            <w:vAlign w:val="center"/>
          </w:tcPr>
          <w:p>
            <w:pPr>
              <w:pStyle w:val="10"/>
            </w:pPr>
            <w:r>
              <w:t>通过信息化手段，扩宽工作人员信息渠道，减少数据重复处理，提高工作效率</w:t>
            </w:r>
          </w:p>
        </w:tc>
        <w:tc>
          <w:tcPr>
            <w:tcW w:w="2551" w:type="dxa"/>
            <w:vAlign w:val="center"/>
          </w:tcPr>
          <w:p>
            <w:pPr>
              <w:pStyle w:val="10"/>
            </w:pPr>
            <w:r>
              <w:t>≥90</w:t>
            </w:r>
          </w:p>
        </w:tc>
        <w:tc>
          <w:tcPr>
            <w:tcW w:w="2268" w:type="dxa"/>
            <w:vAlign w:val="center"/>
          </w:tcPr>
          <w:p>
            <w:pPr>
              <w:pStyle w:val="10"/>
            </w:pPr>
            <w:r>
              <w:t>工作人员对线路使用满意度评估报告　</w:t>
            </w:r>
          </w:p>
        </w:tc>
      </w:tr>
    </w:tbl>
    <w:p/>
    <w:p>
      <w:pPr>
        <w:spacing w:line="2" w:lineRule="exact"/>
        <w:jc w:val="center"/>
      </w:pPr>
      <w:r>
        <w:rPr>
          <w:rFonts w:hint="eastAsia" w:cstheme="minorBidi"/>
          <w:kern w:val="2"/>
          <w:sz w:val="21"/>
          <w:szCs w:val="24"/>
          <w:lang w:val="en-US" w:eastAsia="zh-CN" w:bidi="ar-SA"/>
        </w:rPr>
        <w:tab/>
      </w: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2" w:firstLineChars="200"/>
      </w:pPr>
      <w:r>
        <w:rPr>
          <w:rFonts w:ascii="方正仿宋_GBK" w:hAnsi="方正仿宋_GBK" w:eastAsia="方正仿宋_GBK" w:cs="方正仿宋_GBK"/>
          <w:b/>
          <w:color w:val="000000"/>
          <w:sz w:val="28"/>
        </w:rPr>
        <w:t>9、信息化运维费绩效目标表</w:t>
      </w:r>
    </w:p>
    <w:tbl>
      <w:tblPr>
        <w:tblStyle w:val="2"/>
        <w:tblpPr w:leftFromText="180" w:rightFromText="180" w:vertAnchor="text" w:horzAnchor="page" w:tblpX="1492" w:tblpY="162"/>
        <w:tblOverlap w:val="never"/>
        <w:tblW w:w="1418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4"/>
        <w:gridCol w:w="2268"/>
        <w:gridCol w:w="2835"/>
        <w:gridCol w:w="2835"/>
        <w:gridCol w:w="2551"/>
        <w:gridCol w:w="2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254" w:type="dxa"/>
            <w:vAlign w:val="center"/>
          </w:tcPr>
          <w:p>
            <w:pPr>
              <w:pStyle w:val="8"/>
            </w:pPr>
            <w:r>
              <w:t>绩效目标</w:t>
            </w:r>
          </w:p>
        </w:tc>
        <w:tc>
          <w:tcPr>
            <w:tcW w:w="12928" w:type="dxa"/>
            <w:gridSpan w:val="5"/>
            <w:vAlign w:val="center"/>
          </w:tcPr>
          <w:p>
            <w:pPr>
              <w:pStyle w:val="10"/>
            </w:pPr>
            <w:r>
              <w:t>1.确保我院除基础信息化外的信息化软硬件设备日常能够正常运转，遇到问题及时解决，保障网络通畅。</w:t>
            </w:r>
          </w:p>
          <w:p>
            <w:pPr>
              <w:pStyle w:val="8"/>
              <w:jc w:val="both"/>
            </w:pPr>
            <w:r>
              <w:rPr>
                <w:rFonts w:ascii="方正书宋_GBK" w:hAnsi="方正书宋_GBK" w:eastAsia="方正书宋_GBK" w:cs="方正书宋_GBK"/>
                <w:b w:val="0"/>
                <w:kern w:val="2"/>
                <w:sz w:val="21"/>
                <w:szCs w:val="24"/>
                <w:lang w:val="en-US" w:eastAsia="zh-CN" w:bidi="ar-SA"/>
              </w:rPr>
              <w:t>2.通过购买运维服务，确保上级统一部署的统一业务软件2.0等软件系统正常高效运转。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254"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43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54"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数量　</w:t>
            </w:r>
          </w:p>
        </w:tc>
        <w:tc>
          <w:tcPr>
            <w:tcW w:w="2835" w:type="dxa"/>
            <w:vAlign w:val="center"/>
          </w:tcPr>
          <w:p>
            <w:pPr>
              <w:pStyle w:val="10"/>
            </w:pPr>
            <w:r>
              <w:t>运维工作的数量</w:t>
            </w:r>
          </w:p>
        </w:tc>
        <w:tc>
          <w:tcPr>
            <w:tcW w:w="2551" w:type="dxa"/>
            <w:vAlign w:val="center"/>
          </w:tcPr>
          <w:p>
            <w:pPr>
              <w:pStyle w:val="10"/>
            </w:pPr>
            <w:r>
              <w:t>≥2000对我院息</w:t>
            </w:r>
          </w:p>
          <w:p>
            <w:pPr>
              <w:pStyle w:val="10"/>
            </w:pPr>
            <w:r>
              <w:t>化软硬件设备日</w:t>
            </w:r>
          </w:p>
          <w:p>
            <w:pPr>
              <w:pStyle w:val="10"/>
            </w:pPr>
            <w:r>
              <w:t>常维护、升级保障次数</w:t>
            </w:r>
          </w:p>
        </w:tc>
        <w:tc>
          <w:tcPr>
            <w:tcW w:w="2439" w:type="dxa"/>
            <w:vAlign w:val="center"/>
          </w:tcPr>
          <w:p>
            <w:pPr>
              <w:pStyle w:val="10"/>
            </w:pPr>
            <w:r>
              <w:t>2022 年年度运维报告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54" w:type="dxa"/>
            <w:vMerge w:val="continue"/>
            <w:vAlign w:val="center"/>
          </w:tcPr>
          <w:p/>
        </w:tc>
        <w:tc>
          <w:tcPr>
            <w:tcW w:w="2268" w:type="dxa"/>
            <w:vAlign w:val="center"/>
          </w:tcPr>
          <w:p>
            <w:pPr>
              <w:pStyle w:val="10"/>
            </w:pPr>
            <w:r>
              <w:t>质量指标</w:t>
            </w:r>
          </w:p>
        </w:tc>
        <w:tc>
          <w:tcPr>
            <w:tcW w:w="2835" w:type="dxa"/>
            <w:vAlign w:val="center"/>
          </w:tcPr>
          <w:p>
            <w:pPr>
              <w:pStyle w:val="10"/>
            </w:pPr>
            <w:r>
              <w:t>运维事故</w:t>
            </w:r>
          </w:p>
        </w:tc>
        <w:tc>
          <w:tcPr>
            <w:tcW w:w="2835" w:type="dxa"/>
            <w:vAlign w:val="center"/>
          </w:tcPr>
          <w:p>
            <w:pPr>
              <w:pStyle w:val="10"/>
            </w:pPr>
            <w:r>
              <w:t>因运维不利产生事故</w:t>
            </w:r>
          </w:p>
        </w:tc>
        <w:tc>
          <w:tcPr>
            <w:tcW w:w="2551" w:type="dxa"/>
            <w:vAlign w:val="center"/>
          </w:tcPr>
          <w:p>
            <w:pPr>
              <w:pStyle w:val="10"/>
            </w:pPr>
            <w:r>
              <w:t>&lt;1因运维工作不利造成不可挽回的损失认定为事故</w:t>
            </w:r>
          </w:p>
        </w:tc>
        <w:tc>
          <w:tcPr>
            <w:tcW w:w="2439" w:type="dxa"/>
            <w:vAlign w:val="center"/>
          </w:tcPr>
          <w:p>
            <w:pPr>
              <w:pStyle w:val="10"/>
            </w:pPr>
            <w:r>
              <w:t>2022年年度运维报告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54" w:type="dxa"/>
            <w:vMerge w:val="continue"/>
            <w:vAlign w:val="center"/>
          </w:tcPr>
          <w:p/>
        </w:tc>
        <w:tc>
          <w:tcPr>
            <w:tcW w:w="2268" w:type="dxa"/>
            <w:vAlign w:val="center"/>
          </w:tcPr>
          <w:p>
            <w:pPr>
              <w:pStyle w:val="10"/>
            </w:pPr>
            <w:r>
              <w:t>时效指标</w:t>
            </w:r>
          </w:p>
        </w:tc>
        <w:tc>
          <w:tcPr>
            <w:tcW w:w="2835" w:type="dxa"/>
            <w:vAlign w:val="center"/>
          </w:tcPr>
          <w:p>
            <w:pPr>
              <w:pStyle w:val="10"/>
            </w:pPr>
            <w:r>
              <w:t>问题解决率　</w:t>
            </w:r>
          </w:p>
        </w:tc>
        <w:tc>
          <w:tcPr>
            <w:tcW w:w="2835" w:type="dxa"/>
            <w:vAlign w:val="center"/>
          </w:tcPr>
          <w:p>
            <w:pPr>
              <w:pStyle w:val="10"/>
            </w:pPr>
            <w:r>
              <w:t>运维问题当日解决率</w:t>
            </w:r>
          </w:p>
        </w:tc>
        <w:tc>
          <w:tcPr>
            <w:tcW w:w="2551" w:type="dxa"/>
            <w:vAlign w:val="center"/>
          </w:tcPr>
          <w:p>
            <w:pPr>
              <w:pStyle w:val="10"/>
            </w:pPr>
            <w:r>
              <w:t>≥90解决问题占全部运维问题的比率</w:t>
            </w:r>
          </w:p>
        </w:tc>
        <w:tc>
          <w:tcPr>
            <w:tcW w:w="2439" w:type="dxa"/>
            <w:vAlign w:val="center"/>
          </w:tcPr>
          <w:p>
            <w:pPr>
              <w:pStyle w:val="10"/>
            </w:pPr>
            <w:r>
              <w:t>日常运维报告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54" w:type="dxa"/>
            <w:vMerge w:val="continue"/>
            <w:vAlign w:val="center"/>
          </w:tcPr>
          <w:p/>
        </w:tc>
        <w:tc>
          <w:tcPr>
            <w:tcW w:w="2268" w:type="dxa"/>
            <w:vAlign w:val="center"/>
          </w:tcPr>
          <w:p>
            <w:pPr>
              <w:pStyle w:val="10"/>
            </w:pPr>
            <w:r>
              <w:t>成本指标</w:t>
            </w:r>
          </w:p>
        </w:tc>
        <w:tc>
          <w:tcPr>
            <w:tcW w:w="2835" w:type="dxa"/>
            <w:vAlign w:val="center"/>
          </w:tcPr>
          <w:p>
            <w:pPr>
              <w:pStyle w:val="10"/>
            </w:pPr>
            <w:r>
              <w:t>设备配件更换率</w:t>
            </w:r>
          </w:p>
        </w:tc>
        <w:tc>
          <w:tcPr>
            <w:tcW w:w="2835" w:type="dxa"/>
            <w:vAlign w:val="center"/>
          </w:tcPr>
          <w:p>
            <w:pPr>
              <w:pStyle w:val="10"/>
            </w:pPr>
            <w:r>
              <w:t>运维较好，减少设备更换</w:t>
            </w:r>
          </w:p>
        </w:tc>
        <w:tc>
          <w:tcPr>
            <w:tcW w:w="2551" w:type="dxa"/>
            <w:vAlign w:val="center"/>
          </w:tcPr>
          <w:p>
            <w:pPr>
              <w:pStyle w:val="10"/>
            </w:pPr>
            <w:r>
              <w:t>≤10通过运维，使得设备更换减少，更换比率降低</w:t>
            </w:r>
          </w:p>
        </w:tc>
        <w:tc>
          <w:tcPr>
            <w:tcW w:w="2439" w:type="dxa"/>
            <w:vAlign w:val="center"/>
          </w:tcPr>
          <w:p>
            <w:pPr>
              <w:pStyle w:val="10"/>
            </w:pPr>
            <w:r>
              <w:t>日常运维报告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54"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设备故障再发生率</w:t>
            </w:r>
          </w:p>
        </w:tc>
        <w:tc>
          <w:tcPr>
            <w:tcW w:w="2835" w:type="dxa"/>
            <w:vAlign w:val="center"/>
          </w:tcPr>
          <w:p>
            <w:pPr>
              <w:pStyle w:val="10"/>
            </w:pPr>
            <w:r>
              <w:t>运维所涉信息化设备多次发生同种故障率</w:t>
            </w:r>
          </w:p>
        </w:tc>
        <w:tc>
          <w:tcPr>
            <w:tcW w:w="2551" w:type="dxa"/>
            <w:vAlign w:val="center"/>
          </w:tcPr>
          <w:p>
            <w:pPr>
              <w:pStyle w:val="10"/>
            </w:pPr>
            <w:r>
              <w:t>≤30运维所涉信息化设备多次发生同种故障率</w:t>
            </w:r>
          </w:p>
        </w:tc>
        <w:tc>
          <w:tcPr>
            <w:tcW w:w="2439" w:type="dxa"/>
            <w:vAlign w:val="center"/>
          </w:tcPr>
          <w:p>
            <w:pPr>
              <w:pStyle w:val="10"/>
            </w:pPr>
            <w:r>
              <w:t>2022 年年度运维报告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54"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持续保障运维服务</w:t>
            </w:r>
          </w:p>
        </w:tc>
        <w:tc>
          <w:tcPr>
            <w:tcW w:w="2439" w:type="dxa"/>
            <w:vAlign w:val="center"/>
          </w:tcPr>
          <w:p>
            <w:pPr>
              <w:pStyle w:val="10"/>
            </w:pPr>
            <w:r>
              <w:t>日常运维报告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54"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运维服务满意度</w:t>
            </w:r>
          </w:p>
        </w:tc>
        <w:tc>
          <w:tcPr>
            <w:tcW w:w="2835" w:type="dxa"/>
            <w:vAlign w:val="center"/>
          </w:tcPr>
          <w:p>
            <w:pPr>
              <w:pStyle w:val="10"/>
            </w:pPr>
            <w:r>
              <w:t>全院干警对本院运维的满意度</w:t>
            </w:r>
          </w:p>
        </w:tc>
        <w:tc>
          <w:tcPr>
            <w:tcW w:w="2551" w:type="dxa"/>
            <w:vAlign w:val="center"/>
          </w:tcPr>
          <w:p>
            <w:pPr>
              <w:pStyle w:val="10"/>
            </w:pPr>
            <w:r>
              <w:t>≥90全院干警对运维的满意度</w:t>
            </w:r>
          </w:p>
        </w:tc>
        <w:tc>
          <w:tcPr>
            <w:tcW w:w="2439" w:type="dxa"/>
            <w:vAlign w:val="center"/>
          </w:tcPr>
          <w:p>
            <w:pPr>
              <w:pStyle w:val="10"/>
            </w:pPr>
            <w:r>
              <w:t>年终考核及年度报告</w:t>
            </w:r>
          </w:p>
        </w:tc>
      </w:tr>
    </w:tbl>
    <w:p/>
    <w:p>
      <w:pPr>
        <w:tabs>
          <w:tab w:val="left" w:pos="834"/>
        </w:tabs>
        <w:bidi w:val="0"/>
        <w:jc w:val="left"/>
        <w:rPr>
          <w:rFonts w:asciiTheme="minorHAnsi" w:hAnsiTheme="minorHAnsi" w:eastAsiaTheme="minorEastAsia" w:cstheme="minorBidi"/>
          <w:kern w:val="2"/>
          <w:sz w:val="21"/>
          <w:szCs w:val="24"/>
          <w:lang w:val="en-US" w:eastAsia="zh-CN" w:bidi="ar-SA"/>
        </w:rPr>
        <w:sectPr>
          <w:pgSz w:w="16840" w:h="11900" w:orient="landscape"/>
          <w:pgMar w:top="1361" w:right="1020" w:bottom="1134" w:left="1020" w:header="720" w:footer="720" w:gutter="0"/>
          <w:cols w:space="720" w:num="1"/>
        </w:sectPr>
      </w:pPr>
      <w:r>
        <w:rPr>
          <w:rFonts w:hint="eastAsia" w:cstheme="minorBidi"/>
          <w:kern w:val="2"/>
          <w:sz w:val="21"/>
          <w:szCs w:val="24"/>
          <w:lang w:val="en-US" w:eastAsia="zh-CN" w:bidi="ar-SA"/>
        </w:rPr>
        <w:tab/>
      </w:r>
    </w:p>
    <w:p>
      <w:pPr>
        <w:spacing w:line="2" w:lineRule="exact"/>
        <w:jc w:val="center"/>
      </w:pPr>
      <w:r>
        <w:rPr>
          <w:rFonts w:ascii="方正书宋_GBK" w:hAnsi="方正书宋_GBK" w:eastAsia="方正书宋_GBK" w:cs="方正书宋_GBK"/>
          <w:color w:val="000000"/>
          <w:sz w:val="18"/>
        </w:rPr>
        <w:t xml:space="preserve"> </w:t>
      </w:r>
    </w:p>
    <w:p>
      <w:pPr>
        <w:ind w:firstLine="560"/>
      </w:pPr>
      <w:r>
        <w:rPr>
          <w:rFonts w:ascii="方正仿宋_GBK" w:hAnsi="方正仿宋_GBK" w:eastAsia="方正仿宋_GBK" w:cs="方正仿宋_GBK"/>
          <w:b/>
          <w:color w:val="000000"/>
          <w:sz w:val="28"/>
        </w:rPr>
        <w:t>10、雄安新区检察机关办案区建设绩效目标表</w:t>
      </w:r>
    </w:p>
    <w:tbl>
      <w:tblPr>
        <w:tblStyle w:val="2"/>
        <w:tblpPr w:leftFromText="180" w:rightFromText="180" w:vertAnchor="text" w:horzAnchor="page" w:tblpX="1492" w:tblpY="33"/>
        <w:tblOverlap w:val="never"/>
        <w:tblW w:w="141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9"/>
        <w:gridCol w:w="2268"/>
        <w:gridCol w:w="2835"/>
        <w:gridCol w:w="2835"/>
        <w:gridCol w:w="2551"/>
        <w:gridCol w:w="2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349" w:type="dxa"/>
            <w:vAlign w:val="center"/>
          </w:tcPr>
          <w:p>
            <w:pPr>
              <w:pStyle w:val="8"/>
            </w:pPr>
            <w:r>
              <w:t>绩效目标</w:t>
            </w:r>
          </w:p>
        </w:tc>
        <w:tc>
          <w:tcPr>
            <w:tcW w:w="12847" w:type="dxa"/>
            <w:gridSpan w:val="5"/>
            <w:vAlign w:val="center"/>
          </w:tcPr>
          <w:p>
            <w:pPr>
              <w:pStyle w:val="10"/>
            </w:pPr>
            <w:r>
              <w:t>1.实现检察业务过程中的各类信息全面电子化</w:t>
            </w:r>
          </w:p>
          <w:p>
            <w:pPr>
              <w:pStyle w:val="8"/>
              <w:jc w:val="both"/>
            </w:pPr>
            <w:r>
              <w:rPr>
                <w:rFonts w:ascii="方正书宋_GBK" w:hAnsi="方正书宋_GBK" w:eastAsia="方正书宋_GBK" w:cs="方正书宋_GBK"/>
                <w:b w:val="0"/>
                <w:kern w:val="2"/>
                <w:sz w:val="21"/>
                <w:szCs w:val="24"/>
                <w:lang w:val="en-US" w:eastAsia="zh-CN" w:bidi="ar-SA"/>
              </w:rPr>
              <w:t>2.三远一网系统弄建设，实现“智慧检察”引领检察工作向智能化转变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349"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35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349"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设备配备率</w:t>
            </w:r>
          </w:p>
        </w:tc>
        <w:tc>
          <w:tcPr>
            <w:tcW w:w="2835" w:type="dxa"/>
            <w:vAlign w:val="center"/>
          </w:tcPr>
          <w:p>
            <w:pPr>
              <w:pStyle w:val="10"/>
            </w:pPr>
            <w:r>
              <w:t>设备配备率</w:t>
            </w:r>
          </w:p>
        </w:tc>
        <w:tc>
          <w:tcPr>
            <w:tcW w:w="2551" w:type="dxa"/>
            <w:vAlign w:val="center"/>
          </w:tcPr>
          <w:p>
            <w:pPr>
              <w:pStyle w:val="10"/>
            </w:pPr>
            <w:r>
              <w:t>按照方案完成相关设备配备</w:t>
            </w:r>
          </w:p>
        </w:tc>
        <w:tc>
          <w:tcPr>
            <w:tcW w:w="2358" w:type="dxa"/>
            <w:vAlign w:val="center"/>
          </w:tcPr>
          <w:p>
            <w:pPr>
              <w:pStyle w:val="10"/>
            </w:pPr>
            <w:r>
              <w:t>按照方案完成相关设备配备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349" w:type="dxa"/>
            <w:vMerge w:val="continue"/>
            <w:vAlign w:val="center"/>
          </w:tcPr>
          <w:p/>
        </w:tc>
        <w:tc>
          <w:tcPr>
            <w:tcW w:w="2268" w:type="dxa"/>
            <w:vAlign w:val="center"/>
          </w:tcPr>
          <w:p>
            <w:pPr>
              <w:pStyle w:val="10"/>
            </w:pPr>
            <w:r>
              <w:t>质量指标</w:t>
            </w:r>
          </w:p>
        </w:tc>
        <w:tc>
          <w:tcPr>
            <w:tcW w:w="2835" w:type="dxa"/>
            <w:vAlign w:val="center"/>
          </w:tcPr>
          <w:p>
            <w:pPr>
              <w:pStyle w:val="10"/>
            </w:pPr>
            <w:r>
              <w:t>设备运行安全率</w:t>
            </w:r>
          </w:p>
        </w:tc>
        <w:tc>
          <w:tcPr>
            <w:tcW w:w="2835" w:type="dxa"/>
            <w:vAlign w:val="center"/>
          </w:tcPr>
          <w:p>
            <w:pPr>
              <w:pStyle w:val="10"/>
            </w:pPr>
            <w:r>
              <w:t>设备运行安全率</w:t>
            </w:r>
          </w:p>
        </w:tc>
        <w:tc>
          <w:tcPr>
            <w:tcW w:w="2551" w:type="dxa"/>
            <w:vAlign w:val="center"/>
          </w:tcPr>
          <w:p>
            <w:pPr>
              <w:pStyle w:val="10"/>
            </w:pPr>
            <w:r>
              <w:t>符合相关运行标准　</w:t>
            </w:r>
          </w:p>
        </w:tc>
        <w:tc>
          <w:tcPr>
            <w:tcW w:w="2358" w:type="dxa"/>
            <w:vAlign w:val="center"/>
          </w:tcPr>
          <w:p>
            <w:pPr>
              <w:pStyle w:val="10"/>
            </w:pPr>
            <w:r>
              <w:t>符合相关运行标准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349" w:type="dxa"/>
            <w:vMerge w:val="continue"/>
            <w:vAlign w:val="center"/>
          </w:tcPr>
          <w:p/>
        </w:tc>
        <w:tc>
          <w:tcPr>
            <w:tcW w:w="2268" w:type="dxa"/>
            <w:vAlign w:val="center"/>
          </w:tcPr>
          <w:p>
            <w:pPr>
              <w:pStyle w:val="10"/>
            </w:pPr>
            <w:r>
              <w:t>时效指标</w:t>
            </w:r>
          </w:p>
        </w:tc>
        <w:tc>
          <w:tcPr>
            <w:tcW w:w="2835" w:type="dxa"/>
            <w:vAlign w:val="center"/>
          </w:tcPr>
          <w:p>
            <w:pPr>
              <w:pStyle w:val="10"/>
            </w:pPr>
            <w:r>
              <w:t>完成办案区建设</w:t>
            </w:r>
          </w:p>
        </w:tc>
        <w:tc>
          <w:tcPr>
            <w:tcW w:w="2835" w:type="dxa"/>
            <w:vAlign w:val="center"/>
          </w:tcPr>
          <w:p>
            <w:pPr>
              <w:pStyle w:val="10"/>
            </w:pPr>
            <w:r>
              <w:t>完成方案中相关建设内容</w:t>
            </w:r>
          </w:p>
        </w:tc>
        <w:tc>
          <w:tcPr>
            <w:tcW w:w="2551" w:type="dxa"/>
            <w:vAlign w:val="center"/>
          </w:tcPr>
          <w:p>
            <w:pPr>
              <w:pStyle w:val="10"/>
            </w:pPr>
            <w:r>
              <w:t>完成方案中相关建设内容</w:t>
            </w:r>
          </w:p>
        </w:tc>
        <w:tc>
          <w:tcPr>
            <w:tcW w:w="2358" w:type="dxa"/>
            <w:vAlign w:val="center"/>
          </w:tcPr>
          <w:p>
            <w:pPr>
              <w:pStyle w:val="10"/>
            </w:pPr>
            <w:r>
              <w:t>完成方案中相关建设内容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349" w:type="dxa"/>
            <w:vMerge w:val="continue"/>
            <w:vAlign w:val="center"/>
          </w:tcPr>
          <w:p/>
        </w:tc>
        <w:tc>
          <w:tcPr>
            <w:tcW w:w="2268" w:type="dxa"/>
            <w:vAlign w:val="center"/>
          </w:tcPr>
          <w:p>
            <w:pPr>
              <w:pStyle w:val="10"/>
            </w:pPr>
            <w:r>
              <w:t>成本指标</w:t>
            </w:r>
          </w:p>
        </w:tc>
        <w:tc>
          <w:tcPr>
            <w:tcW w:w="2835" w:type="dxa"/>
            <w:vAlign w:val="center"/>
          </w:tcPr>
          <w:p>
            <w:pPr>
              <w:pStyle w:val="10"/>
            </w:pPr>
            <w:r>
              <w:t>严格控制成本，不超出项目预算数</w:t>
            </w:r>
          </w:p>
        </w:tc>
        <w:tc>
          <w:tcPr>
            <w:tcW w:w="2835" w:type="dxa"/>
            <w:vAlign w:val="center"/>
          </w:tcPr>
          <w:p>
            <w:pPr>
              <w:pStyle w:val="10"/>
            </w:pPr>
            <w:r>
              <w:t>严控预算成本</w:t>
            </w:r>
          </w:p>
        </w:tc>
        <w:tc>
          <w:tcPr>
            <w:tcW w:w="2551" w:type="dxa"/>
            <w:vAlign w:val="center"/>
          </w:tcPr>
          <w:p>
            <w:pPr>
              <w:pStyle w:val="10"/>
            </w:pPr>
            <w:r>
              <w:t>不超当年预算限额</w:t>
            </w:r>
          </w:p>
        </w:tc>
        <w:tc>
          <w:tcPr>
            <w:tcW w:w="2358" w:type="dxa"/>
            <w:vAlign w:val="center"/>
          </w:tcPr>
          <w:p>
            <w:pPr>
              <w:pStyle w:val="10"/>
            </w:pPr>
            <w:r>
              <w:t>年终决算报告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349"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≥90 资金适用率大于等于 90%</w:t>
            </w:r>
          </w:p>
        </w:tc>
        <w:tc>
          <w:tcPr>
            <w:tcW w:w="2358" w:type="dxa"/>
            <w:vAlign w:val="center"/>
          </w:tcPr>
          <w:p>
            <w:pPr>
              <w:pStyle w:val="10"/>
            </w:pPr>
            <w:r>
              <w:t>年终决算报告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349"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持续为办案提供帮助</w:t>
            </w:r>
          </w:p>
        </w:tc>
        <w:tc>
          <w:tcPr>
            <w:tcW w:w="2358" w:type="dxa"/>
            <w:vAlign w:val="center"/>
          </w:tcPr>
          <w:p>
            <w:pPr>
              <w:pStyle w:val="10"/>
            </w:pPr>
            <w:r>
              <w:t>年度工作考核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349"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办理单位满意度　</w:t>
            </w:r>
          </w:p>
        </w:tc>
        <w:tc>
          <w:tcPr>
            <w:tcW w:w="2835" w:type="dxa"/>
            <w:vAlign w:val="center"/>
          </w:tcPr>
          <w:p>
            <w:pPr>
              <w:pStyle w:val="10"/>
            </w:pPr>
            <w:r>
              <w:t>办理单位满意度　</w:t>
            </w:r>
          </w:p>
        </w:tc>
        <w:tc>
          <w:tcPr>
            <w:tcW w:w="2551" w:type="dxa"/>
            <w:vAlign w:val="center"/>
          </w:tcPr>
          <w:p>
            <w:pPr>
              <w:pStyle w:val="10"/>
            </w:pPr>
            <w:r>
              <w:t>≥90单位满意度大于等于90%</w:t>
            </w:r>
          </w:p>
        </w:tc>
        <w:tc>
          <w:tcPr>
            <w:tcW w:w="2358" w:type="dxa"/>
            <w:vAlign w:val="center"/>
          </w:tcPr>
          <w:p>
            <w:pPr>
              <w:pStyle w:val="10"/>
            </w:pPr>
            <w:r>
              <w:t>年度工作报告</w:t>
            </w:r>
          </w:p>
        </w:tc>
      </w:tr>
    </w:tbl>
    <w:p/>
    <w:p>
      <w:pPr>
        <w:tabs>
          <w:tab w:val="left" w:pos="711"/>
        </w:tabs>
        <w:bidi w:val="0"/>
        <w:jc w:val="left"/>
        <w:rPr>
          <w:rFonts w:asciiTheme="minorHAnsi" w:hAnsiTheme="minorHAnsi" w:eastAsiaTheme="minorEastAsia" w:cstheme="minorBidi"/>
          <w:kern w:val="2"/>
          <w:sz w:val="21"/>
          <w:szCs w:val="24"/>
          <w:lang w:val="en-US" w:eastAsia="zh-CN" w:bidi="ar-SA"/>
        </w:rPr>
        <w:sectPr>
          <w:pgSz w:w="16840" w:h="11900" w:orient="landscape"/>
          <w:pgMar w:top="1361" w:right="1020" w:bottom="1134" w:left="1020" w:header="720" w:footer="720" w:gutter="0"/>
          <w:cols w:space="720" w:num="1"/>
        </w:sectPr>
      </w:pPr>
      <w:r>
        <w:rPr>
          <w:rFonts w:hint="eastAsia" w:cstheme="minorBidi"/>
          <w:kern w:val="2"/>
          <w:sz w:val="21"/>
          <w:szCs w:val="24"/>
          <w:lang w:val="en-US" w:eastAsia="zh-CN" w:bidi="ar-SA"/>
        </w:rPr>
        <w:tab/>
      </w:r>
    </w:p>
    <w:p>
      <w:pPr>
        <w:spacing w:line="2" w:lineRule="exact"/>
        <w:jc w:val="center"/>
      </w:pPr>
      <w:r>
        <w:rPr>
          <w:rFonts w:ascii="方正书宋_GBK" w:hAnsi="方正书宋_GBK" w:eastAsia="方正书宋_GBK" w:cs="方正书宋_GBK"/>
          <w:color w:val="000000"/>
          <w:sz w:val="18"/>
        </w:rPr>
        <w:t xml:space="preserve"> </w:t>
      </w:r>
    </w:p>
    <w:p>
      <w:pPr>
        <w:ind w:firstLine="560"/>
      </w:pPr>
      <w:r>
        <w:rPr>
          <w:rFonts w:ascii="方正仿宋_GBK" w:hAnsi="方正仿宋_GBK" w:eastAsia="方正仿宋_GBK" w:cs="方正仿宋_GBK"/>
          <w:b/>
          <w:color w:val="000000"/>
          <w:sz w:val="28"/>
        </w:rPr>
        <w:t>11、招录辅助人员经费绩效目标表</w:t>
      </w:r>
    </w:p>
    <w:tbl>
      <w:tblPr>
        <w:tblStyle w:val="2"/>
        <w:tblpPr w:leftFromText="180" w:rightFromText="180" w:vertAnchor="text" w:horzAnchor="page" w:tblpX="1479" w:tblpY="35"/>
        <w:tblOverlap w:val="never"/>
        <w:tblW w:w="1420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2268"/>
        <w:gridCol w:w="2835"/>
        <w:gridCol w:w="2835"/>
        <w:gridCol w:w="2551"/>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240" w:type="dxa"/>
            <w:vAlign w:val="center"/>
          </w:tcPr>
          <w:p>
            <w:pPr>
              <w:pStyle w:val="8"/>
            </w:pPr>
            <w:r>
              <w:t>绩效目标</w:t>
            </w:r>
          </w:p>
        </w:tc>
        <w:tc>
          <w:tcPr>
            <w:tcW w:w="12969" w:type="dxa"/>
            <w:gridSpan w:val="5"/>
            <w:vAlign w:val="center"/>
          </w:tcPr>
          <w:p>
            <w:pPr>
              <w:pStyle w:val="10"/>
            </w:pPr>
            <w:r>
              <w:t>1.及时准确发放工资，足额缴纳保险，确保司法辅助人员待遇。　</w:t>
            </w:r>
          </w:p>
          <w:p>
            <w:pPr>
              <w:pStyle w:val="8"/>
              <w:jc w:val="both"/>
            </w:pPr>
            <w:r>
              <w:rPr>
                <w:rFonts w:ascii="方正书宋_GBK" w:hAnsi="方正书宋_GBK" w:eastAsia="方正书宋_GBK" w:cs="方正书宋_GBK"/>
                <w:b w:val="0"/>
                <w:kern w:val="2"/>
                <w:sz w:val="21"/>
                <w:szCs w:val="24"/>
                <w:lang w:val="en-US" w:eastAsia="zh-CN" w:bidi="ar-SA"/>
              </w:rPr>
              <w:t>2.规范人员管理和考核，实现司法辅助人员工作价值，有效推进检察工作开展。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240"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480"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40"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足额保障　</w:t>
            </w:r>
          </w:p>
        </w:tc>
        <w:tc>
          <w:tcPr>
            <w:tcW w:w="2835" w:type="dxa"/>
            <w:vAlign w:val="center"/>
          </w:tcPr>
          <w:p>
            <w:pPr>
              <w:pStyle w:val="10"/>
            </w:pPr>
            <w:r>
              <w:t>足额发放工资，缴纳保险。</w:t>
            </w:r>
          </w:p>
        </w:tc>
        <w:tc>
          <w:tcPr>
            <w:tcW w:w="2551" w:type="dxa"/>
            <w:vAlign w:val="center"/>
          </w:tcPr>
          <w:p>
            <w:pPr>
              <w:pStyle w:val="10"/>
            </w:pPr>
            <w:r>
              <w:t>足额发放工资，缴纳保险。</w:t>
            </w:r>
          </w:p>
        </w:tc>
        <w:tc>
          <w:tcPr>
            <w:tcW w:w="2480" w:type="dxa"/>
            <w:vAlign w:val="center"/>
          </w:tcPr>
          <w:p>
            <w:pPr>
              <w:pStyle w:val="10"/>
            </w:pPr>
            <w:r>
              <w:t>人事部门提供工资表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40" w:type="dxa"/>
            <w:vMerge w:val="continue"/>
            <w:vAlign w:val="center"/>
          </w:tcPr>
          <w:p/>
        </w:tc>
        <w:tc>
          <w:tcPr>
            <w:tcW w:w="2268" w:type="dxa"/>
            <w:vAlign w:val="center"/>
          </w:tcPr>
          <w:p>
            <w:pPr>
              <w:pStyle w:val="10"/>
            </w:pPr>
            <w:r>
              <w:t>质量指标</w:t>
            </w:r>
          </w:p>
        </w:tc>
        <w:tc>
          <w:tcPr>
            <w:tcW w:w="2835" w:type="dxa"/>
            <w:vAlign w:val="center"/>
          </w:tcPr>
          <w:p>
            <w:pPr>
              <w:pStyle w:val="10"/>
            </w:pPr>
            <w:r>
              <w:t>符合政策规定</w:t>
            </w:r>
          </w:p>
        </w:tc>
        <w:tc>
          <w:tcPr>
            <w:tcW w:w="2835" w:type="dxa"/>
            <w:vAlign w:val="center"/>
          </w:tcPr>
          <w:p>
            <w:pPr>
              <w:pStyle w:val="10"/>
            </w:pPr>
            <w:r>
              <w:t>工资构成及保险缴纳比例符合政策规定</w:t>
            </w:r>
          </w:p>
        </w:tc>
        <w:tc>
          <w:tcPr>
            <w:tcW w:w="2551" w:type="dxa"/>
            <w:vAlign w:val="center"/>
          </w:tcPr>
          <w:p>
            <w:pPr>
              <w:pStyle w:val="10"/>
            </w:pPr>
            <w:r>
              <w:t>工资构成及保险缴纳比例符合政策规定。　</w:t>
            </w:r>
          </w:p>
        </w:tc>
        <w:tc>
          <w:tcPr>
            <w:tcW w:w="2480" w:type="dxa"/>
            <w:vAlign w:val="center"/>
          </w:tcPr>
          <w:p>
            <w:pPr>
              <w:pStyle w:val="10"/>
            </w:pPr>
            <w:r>
              <w:t>当地社保、公积金部门固定的缴纳比例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40" w:type="dxa"/>
            <w:vMerge w:val="continue"/>
            <w:vAlign w:val="center"/>
          </w:tcPr>
          <w:p/>
        </w:tc>
        <w:tc>
          <w:tcPr>
            <w:tcW w:w="2268" w:type="dxa"/>
            <w:vAlign w:val="center"/>
          </w:tcPr>
          <w:p>
            <w:pPr>
              <w:pStyle w:val="10"/>
            </w:pPr>
            <w:r>
              <w:t>时效指标</w:t>
            </w:r>
          </w:p>
        </w:tc>
        <w:tc>
          <w:tcPr>
            <w:tcW w:w="2835" w:type="dxa"/>
            <w:vAlign w:val="center"/>
          </w:tcPr>
          <w:p>
            <w:pPr>
              <w:pStyle w:val="10"/>
            </w:pPr>
            <w:r>
              <w:t>及时保障</w:t>
            </w:r>
          </w:p>
        </w:tc>
        <w:tc>
          <w:tcPr>
            <w:tcW w:w="2835" w:type="dxa"/>
            <w:vAlign w:val="center"/>
          </w:tcPr>
          <w:p>
            <w:pPr>
              <w:pStyle w:val="10"/>
            </w:pPr>
            <w:r>
              <w:t>及时保障待遇发放，不拖不欠，按月按时。</w:t>
            </w:r>
          </w:p>
        </w:tc>
        <w:tc>
          <w:tcPr>
            <w:tcW w:w="2551" w:type="dxa"/>
            <w:vAlign w:val="center"/>
          </w:tcPr>
          <w:p>
            <w:pPr>
              <w:pStyle w:val="10"/>
            </w:pPr>
            <w:r>
              <w:t>及时发放工资、缴纳保险。　</w:t>
            </w:r>
          </w:p>
        </w:tc>
        <w:tc>
          <w:tcPr>
            <w:tcW w:w="2480" w:type="dxa"/>
            <w:vAlign w:val="center"/>
          </w:tcPr>
          <w:p>
            <w:pPr>
              <w:pStyle w:val="10"/>
            </w:pPr>
            <w:r>
              <w:t>当地社保、公积金部门固定缴纳时间内完成缴纳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40" w:type="dxa"/>
            <w:vMerge w:val="continue"/>
            <w:vAlign w:val="center"/>
          </w:tcPr>
          <w:p/>
        </w:tc>
        <w:tc>
          <w:tcPr>
            <w:tcW w:w="2268" w:type="dxa"/>
            <w:vAlign w:val="center"/>
          </w:tcPr>
          <w:p>
            <w:pPr>
              <w:pStyle w:val="10"/>
            </w:pPr>
            <w:r>
              <w:t>成本指标</w:t>
            </w:r>
          </w:p>
        </w:tc>
        <w:tc>
          <w:tcPr>
            <w:tcW w:w="2835" w:type="dxa"/>
            <w:vAlign w:val="center"/>
          </w:tcPr>
          <w:p>
            <w:pPr>
              <w:pStyle w:val="10"/>
            </w:pPr>
            <w:r>
              <w:t>差错成本</w:t>
            </w:r>
          </w:p>
        </w:tc>
        <w:tc>
          <w:tcPr>
            <w:tcW w:w="2835" w:type="dxa"/>
            <w:vAlign w:val="center"/>
          </w:tcPr>
          <w:p>
            <w:pPr>
              <w:pStyle w:val="10"/>
            </w:pPr>
            <w:r>
              <w:t>因差错导致工资错误或保险缴纳错误</w:t>
            </w:r>
          </w:p>
        </w:tc>
        <w:tc>
          <w:tcPr>
            <w:tcW w:w="2551" w:type="dxa"/>
            <w:vAlign w:val="center"/>
          </w:tcPr>
          <w:p>
            <w:pPr>
              <w:pStyle w:val="10"/>
            </w:pPr>
            <w:r>
              <w:t>&lt;2差错率</w:t>
            </w:r>
          </w:p>
        </w:tc>
        <w:tc>
          <w:tcPr>
            <w:tcW w:w="2480" w:type="dxa"/>
            <w:vAlign w:val="center"/>
          </w:tcPr>
          <w:p>
            <w:pPr>
              <w:pStyle w:val="10"/>
            </w:pPr>
            <w:r>
              <w:t>年终核算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40"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保障检察工作</w:t>
            </w:r>
          </w:p>
        </w:tc>
        <w:tc>
          <w:tcPr>
            <w:tcW w:w="2835" w:type="dxa"/>
            <w:vAlign w:val="center"/>
          </w:tcPr>
          <w:p>
            <w:pPr>
              <w:pStyle w:val="10"/>
            </w:pPr>
            <w:r>
              <w:t>保障检察工作</w:t>
            </w:r>
          </w:p>
        </w:tc>
        <w:tc>
          <w:tcPr>
            <w:tcW w:w="2551" w:type="dxa"/>
            <w:vAlign w:val="center"/>
          </w:tcPr>
          <w:p>
            <w:pPr>
              <w:pStyle w:val="10"/>
            </w:pPr>
            <w:r>
              <w:t>充实检察人员力量，保障检察工作有序开展　</w:t>
            </w:r>
          </w:p>
        </w:tc>
        <w:tc>
          <w:tcPr>
            <w:tcW w:w="2480" w:type="dxa"/>
            <w:vAlign w:val="center"/>
          </w:tcPr>
          <w:p>
            <w:pPr>
              <w:pStyle w:val="10"/>
            </w:pPr>
            <w:r>
              <w:t>年度工作总结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40" w:type="dxa"/>
            <w:vMerge w:val="continue"/>
            <w:vAlign w:val="center"/>
          </w:tcPr>
          <w:p/>
        </w:tc>
        <w:tc>
          <w:tcPr>
            <w:tcW w:w="2268" w:type="dxa"/>
            <w:vAlign w:val="center"/>
          </w:tcPr>
          <w:p>
            <w:pPr>
              <w:pStyle w:val="10"/>
            </w:pPr>
            <w:r>
              <w:t>社会效益指标</w:t>
            </w:r>
          </w:p>
        </w:tc>
        <w:tc>
          <w:tcPr>
            <w:tcW w:w="2835" w:type="dxa"/>
            <w:vAlign w:val="center"/>
          </w:tcPr>
          <w:p>
            <w:pPr>
              <w:pStyle w:val="10"/>
            </w:pPr>
            <w:r>
              <w:t>辅助管理人员（工勤人员）满意度</w:t>
            </w:r>
          </w:p>
        </w:tc>
        <w:tc>
          <w:tcPr>
            <w:tcW w:w="2835" w:type="dxa"/>
            <w:vAlign w:val="center"/>
          </w:tcPr>
          <w:p>
            <w:pPr>
              <w:pStyle w:val="10"/>
            </w:pPr>
            <w:r>
              <w:t>辅助管理人员（工勤人员）满意度</w:t>
            </w:r>
          </w:p>
        </w:tc>
        <w:tc>
          <w:tcPr>
            <w:tcW w:w="2551" w:type="dxa"/>
            <w:vAlign w:val="center"/>
          </w:tcPr>
          <w:p>
            <w:pPr>
              <w:pStyle w:val="10"/>
            </w:pPr>
            <w:r>
              <w:t>≥90</w:t>
            </w:r>
          </w:p>
        </w:tc>
        <w:tc>
          <w:tcPr>
            <w:tcW w:w="2480" w:type="dxa"/>
            <w:vAlign w:val="center"/>
          </w:tcPr>
          <w:p>
            <w:pPr>
              <w:pStyle w:val="10"/>
            </w:pPr>
            <w:r>
              <w:t>年度工作总结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40"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服务对象待遇保障满意度</w:t>
            </w:r>
          </w:p>
        </w:tc>
        <w:tc>
          <w:tcPr>
            <w:tcW w:w="2835" w:type="dxa"/>
            <w:vAlign w:val="center"/>
          </w:tcPr>
          <w:p>
            <w:pPr>
              <w:pStyle w:val="10"/>
            </w:pPr>
            <w:r>
              <w:t>服务对象待遇保障满意度</w:t>
            </w:r>
          </w:p>
        </w:tc>
        <w:tc>
          <w:tcPr>
            <w:tcW w:w="2551" w:type="dxa"/>
            <w:vAlign w:val="center"/>
          </w:tcPr>
          <w:p>
            <w:pPr>
              <w:pStyle w:val="10"/>
            </w:pPr>
            <w:r>
              <w:t>&gt;95司法辅助人员对待遇保障情况是否满意</w:t>
            </w:r>
          </w:p>
        </w:tc>
        <w:tc>
          <w:tcPr>
            <w:tcW w:w="2480" w:type="dxa"/>
            <w:vAlign w:val="center"/>
          </w:tcPr>
          <w:p>
            <w:pPr>
              <w:pStyle w:val="10"/>
            </w:pPr>
            <w:r>
              <w:t>年度考核</w:t>
            </w:r>
          </w:p>
        </w:tc>
      </w:tr>
    </w:tbl>
    <w:p/>
    <w:p>
      <w:pPr>
        <w:tabs>
          <w:tab w:val="left" w:pos="888"/>
        </w:tabs>
        <w:bidi w:val="0"/>
        <w:jc w:val="left"/>
        <w:rPr>
          <w:rFonts w:asciiTheme="minorHAnsi" w:hAnsiTheme="minorHAnsi" w:eastAsiaTheme="minorEastAsia" w:cstheme="minorBidi"/>
          <w:kern w:val="2"/>
          <w:sz w:val="21"/>
          <w:szCs w:val="24"/>
          <w:lang w:val="en-US" w:eastAsia="zh-CN" w:bidi="ar-SA"/>
        </w:rPr>
        <w:sectPr>
          <w:pgSz w:w="16840" w:h="11900" w:orient="landscape"/>
          <w:pgMar w:top="1361" w:right="1020" w:bottom="1134" w:left="1020" w:header="720" w:footer="720" w:gutter="0"/>
          <w:cols w:space="720" w:num="1"/>
        </w:sectPr>
      </w:pPr>
      <w:r>
        <w:rPr>
          <w:rFonts w:hint="eastAsia" w:cstheme="minorBidi"/>
          <w:kern w:val="2"/>
          <w:sz w:val="21"/>
          <w:szCs w:val="24"/>
          <w:lang w:val="en-US" w:eastAsia="zh-CN" w:bidi="ar-SA"/>
        </w:rPr>
        <w:tab/>
      </w:r>
    </w:p>
    <w:p>
      <w:pPr>
        <w:spacing w:line="2" w:lineRule="exact"/>
        <w:jc w:val="center"/>
      </w:pPr>
      <w:r>
        <w:rPr>
          <w:rFonts w:ascii="方正书宋_GBK" w:hAnsi="方正书宋_GBK" w:eastAsia="方正书宋_GBK" w:cs="方正书宋_GBK"/>
          <w:color w:val="000000"/>
          <w:sz w:val="18"/>
        </w:rPr>
        <w:t xml:space="preserve"> </w:t>
      </w:r>
    </w:p>
    <w:p>
      <w:pPr>
        <w:ind w:firstLine="560"/>
      </w:pPr>
      <w:r>
        <w:rPr>
          <w:rFonts w:ascii="方正仿宋_GBK" w:hAnsi="方正仿宋_GBK" w:eastAsia="方正仿宋_GBK" w:cs="方正仿宋_GBK"/>
          <w:b/>
          <w:color w:val="000000"/>
          <w:sz w:val="28"/>
        </w:rPr>
        <w:t>12、检察机关CNAS实验室绩效目标表</w:t>
      </w:r>
    </w:p>
    <w:tbl>
      <w:tblPr>
        <w:tblStyle w:val="2"/>
        <w:tblpPr w:leftFromText="180" w:rightFromText="180" w:vertAnchor="text" w:horzAnchor="page" w:tblpX="1315" w:tblpY="8"/>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绩效目标</w:t>
            </w:r>
          </w:p>
        </w:tc>
        <w:tc>
          <w:tcPr>
            <w:tcW w:w="12757" w:type="dxa"/>
            <w:gridSpan w:val="5"/>
            <w:vAlign w:val="center"/>
          </w:tcPr>
          <w:p>
            <w:pPr>
              <w:pStyle w:val="10"/>
            </w:pPr>
            <w:r>
              <w:t>1.为检察业务办案提供符合CNAS标准的检验、检测和司法鉴定。</w:t>
            </w:r>
          </w:p>
          <w:p>
            <w:pPr>
              <w:pStyle w:val="10"/>
            </w:pPr>
            <w:r>
              <w:t>2.为新区司法鉴定工作提供支撑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实验室设备配备率</w:t>
            </w:r>
          </w:p>
        </w:tc>
        <w:tc>
          <w:tcPr>
            <w:tcW w:w="2835" w:type="dxa"/>
            <w:vAlign w:val="center"/>
          </w:tcPr>
          <w:p>
            <w:pPr>
              <w:pStyle w:val="10"/>
            </w:pPr>
            <w:r>
              <w:t>实验室设备配备率</w:t>
            </w:r>
          </w:p>
        </w:tc>
        <w:tc>
          <w:tcPr>
            <w:tcW w:w="2551" w:type="dxa"/>
            <w:vAlign w:val="center"/>
          </w:tcPr>
          <w:p>
            <w:pPr>
              <w:pStyle w:val="10"/>
            </w:pPr>
            <w:r>
              <w:t>按照方案完成相关设备配备</w:t>
            </w:r>
          </w:p>
          <w:p>
            <w:pPr>
              <w:pStyle w:val="10"/>
            </w:pPr>
          </w:p>
        </w:tc>
        <w:tc>
          <w:tcPr>
            <w:tcW w:w="2268" w:type="dxa"/>
            <w:vAlign w:val="center"/>
          </w:tcPr>
          <w:p>
            <w:pPr>
              <w:pStyle w:val="10"/>
            </w:pPr>
            <w:r>
              <w:t>按照方案完成相关设备配备</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实验室设备运行安全率</w:t>
            </w:r>
          </w:p>
        </w:tc>
        <w:tc>
          <w:tcPr>
            <w:tcW w:w="2835" w:type="dxa"/>
            <w:vAlign w:val="center"/>
          </w:tcPr>
          <w:p>
            <w:pPr>
              <w:pStyle w:val="10"/>
            </w:pPr>
            <w:r>
              <w:t>实验室设备运行安全率</w:t>
            </w:r>
          </w:p>
        </w:tc>
        <w:tc>
          <w:tcPr>
            <w:tcW w:w="2551" w:type="dxa"/>
            <w:vAlign w:val="center"/>
          </w:tcPr>
          <w:p>
            <w:pPr>
              <w:pStyle w:val="10"/>
            </w:pPr>
            <w:r>
              <w:t>实验室符合相关运行标准</w:t>
            </w:r>
          </w:p>
          <w:p>
            <w:pPr>
              <w:pStyle w:val="10"/>
            </w:pPr>
          </w:p>
        </w:tc>
        <w:tc>
          <w:tcPr>
            <w:tcW w:w="2268" w:type="dxa"/>
            <w:vAlign w:val="center"/>
          </w:tcPr>
          <w:p>
            <w:pPr>
              <w:pStyle w:val="10"/>
            </w:pPr>
            <w:r>
              <w:t>实验室符合相关运行标准</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项目建设按期完成率</w:t>
            </w:r>
          </w:p>
        </w:tc>
        <w:tc>
          <w:tcPr>
            <w:tcW w:w="2835" w:type="dxa"/>
            <w:vAlign w:val="center"/>
          </w:tcPr>
          <w:p>
            <w:pPr>
              <w:pStyle w:val="10"/>
            </w:pPr>
            <w:r>
              <w:t>项目建设按期完成率</w:t>
            </w:r>
          </w:p>
        </w:tc>
        <w:tc>
          <w:tcPr>
            <w:tcW w:w="2551" w:type="dxa"/>
            <w:vAlign w:val="center"/>
          </w:tcPr>
          <w:p>
            <w:pPr>
              <w:pStyle w:val="10"/>
            </w:pPr>
            <w:r>
              <w:t>完成相关建设内容</w:t>
            </w:r>
          </w:p>
        </w:tc>
        <w:tc>
          <w:tcPr>
            <w:tcW w:w="2268" w:type="dxa"/>
            <w:vAlign w:val="center"/>
          </w:tcPr>
          <w:p>
            <w:pPr>
              <w:pStyle w:val="10"/>
            </w:pPr>
            <w:r>
              <w:t>完成相关建设内容</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≥90</w:t>
            </w:r>
          </w:p>
        </w:tc>
        <w:tc>
          <w:tcPr>
            <w:tcW w:w="2268" w:type="dxa"/>
            <w:vAlign w:val="center"/>
          </w:tcPr>
          <w:p>
            <w:pPr>
              <w:pStyle w:val="10"/>
            </w:pPr>
            <w:r>
              <w:t>资金适用率大于等于90%</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持续为检察办案提供帮助</w:t>
            </w:r>
          </w:p>
        </w:tc>
        <w:tc>
          <w:tcPr>
            <w:tcW w:w="2268" w:type="dxa"/>
            <w:vAlign w:val="center"/>
          </w:tcPr>
          <w:p>
            <w:pPr>
              <w:pStyle w:val="10"/>
            </w:pPr>
            <w:r>
              <w:t>持续为检察办案提供帮助</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办理单位满意度</w:t>
            </w:r>
          </w:p>
        </w:tc>
        <w:tc>
          <w:tcPr>
            <w:tcW w:w="2835" w:type="dxa"/>
            <w:vAlign w:val="center"/>
          </w:tcPr>
          <w:p>
            <w:pPr>
              <w:pStyle w:val="10"/>
            </w:pPr>
            <w:r>
              <w:t>办理单位满意度</w:t>
            </w:r>
          </w:p>
        </w:tc>
        <w:tc>
          <w:tcPr>
            <w:tcW w:w="2551" w:type="dxa"/>
            <w:vAlign w:val="center"/>
          </w:tcPr>
          <w:p>
            <w:pPr>
              <w:pStyle w:val="10"/>
            </w:pPr>
            <w:r>
              <w:t>≥90为业务部门提供相关鉴定及技术协助</w:t>
            </w:r>
          </w:p>
          <w:p>
            <w:pPr>
              <w:pStyle w:val="10"/>
            </w:pPr>
          </w:p>
        </w:tc>
        <w:tc>
          <w:tcPr>
            <w:tcW w:w="2268" w:type="dxa"/>
            <w:vAlign w:val="center"/>
          </w:tcPr>
          <w:p>
            <w:pPr>
              <w:pStyle w:val="10"/>
            </w:pPr>
            <w:r>
              <w:t>为业务部门提供相关鉴定及技术协助</w:t>
            </w:r>
          </w:p>
          <w:p>
            <w:pPr>
              <w:pStyle w:val="10"/>
            </w:pPr>
          </w:p>
        </w:tc>
      </w:tr>
    </w:tbl>
    <w:p>
      <w:pPr>
        <w:tabs>
          <w:tab w:val="right" w:pos="14800"/>
        </w:tabs>
        <w:bidi w:val="0"/>
        <w:jc w:val="left"/>
        <w:rPr>
          <w:lang w:val="en-US" w:eastAsia="zh-CN"/>
        </w:rPr>
        <w:sectPr>
          <w:pgSz w:w="16840" w:h="11900" w:orient="landscape"/>
          <w:pgMar w:top="1361" w:right="1020" w:bottom="1134" w:left="1020" w:header="720" w:footer="720" w:gutter="0"/>
          <w:cols w:space="720" w:num="1"/>
        </w:sectPr>
      </w:pPr>
    </w:p>
    <w:p>
      <w:pPr>
        <w:spacing w:before="10" w:after="10"/>
        <w:ind w:firstLine="640" w:firstLineChars="20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2022年，河北省人民检察院雄安新区分院安排政府采购预算2120.10万元。具体内容见下表。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2120.10</w:t>
            </w:r>
          </w:p>
        </w:tc>
        <w:tc>
          <w:tcPr>
            <w:tcW w:w="964" w:type="dxa"/>
            <w:vAlign w:val="center"/>
          </w:tcPr>
          <w:p>
            <w:pPr>
              <w:pStyle w:val="13"/>
            </w:pPr>
            <w:r>
              <w:t>2120.10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河北省人民检察院雄安新区分院小计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2120.10</w:t>
            </w:r>
          </w:p>
        </w:tc>
        <w:tc>
          <w:tcPr>
            <w:tcW w:w="964" w:type="dxa"/>
            <w:vAlign w:val="center"/>
          </w:tcPr>
          <w:p>
            <w:pPr>
              <w:pStyle w:val="13"/>
            </w:pPr>
            <w:r>
              <w:t>2120.10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“雄安新区行政执法与刑事司法衔接工作“专项经费</w:t>
            </w:r>
          </w:p>
        </w:tc>
        <w:tc>
          <w:tcPr>
            <w:tcW w:w="964" w:type="dxa"/>
            <w:vAlign w:val="center"/>
          </w:tcPr>
          <w:p>
            <w:pPr>
              <w:pStyle w:val="11"/>
            </w:pPr>
            <w:r>
              <w:t>210.00</w:t>
            </w:r>
          </w:p>
        </w:tc>
        <w:tc>
          <w:tcPr>
            <w:tcW w:w="1134" w:type="dxa"/>
            <w:vAlign w:val="center"/>
          </w:tcPr>
          <w:p>
            <w:pPr>
              <w:pStyle w:val="10"/>
            </w:pPr>
            <w:r>
              <w:t>软件运营服务</w:t>
            </w:r>
          </w:p>
        </w:tc>
        <w:tc>
          <w:tcPr>
            <w:tcW w:w="1134" w:type="dxa"/>
            <w:vAlign w:val="center"/>
          </w:tcPr>
          <w:p>
            <w:pPr>
              <w:pStyle w:val="10"/>
            </w:pPr>
            <w:r>
              <w:t>C020701</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办案业务费及临时办公场所保障</w:t>
            </w:r>
          </w:p>
        </w:tc>
        <w:tc>
          <w:tcPr>
            <w:tcW w:w="964" w:type="dxa"/>
            <w:vAlign w:val="center"/>
          </w:tcPr>
          <w:p>
            <w:pPr>
              <w:pStyle w:val="11"/>
            </w:pPr>
            <w:r>
              <w:t>450.00</w:t>
            </w:r>
          </w:p>
        </w:tc>
        <w:tc>
          <w:tcPr>
            <w:tcW w:w="1134" w:type="dxa"/>
            <w:vAlign w:val="center"/>
          </w:tcPr>
          <w:p>
            <w:pPr>
              <w:pStyle w:val="10"/>
            </w:pPr>
            <w:r>
              <w:t>空调机</w:t>
            </w:r>
          </w:p>
        </w:tc>
        <w:tc>
          <w:tcPr>
            <w:tcW w:w="1134" w:type="dxa"/>
            <w:vAlign w:val="center"/>
          </w:tcPr>
          <w:p>
            <w:pPr>
              <w:pStyle w:val="10"/>
            </w:pPr>
            <w:r>
              <w:t>A0206180203</w:t>
            </w:r>
          </w:p>
        </w:tc>
        <w:tc>
          <w:tcPr>
            <w:tcW w:w="709" w:type="dxa"/>
            <w:vAlign w:val="center"/>
          </w:tcPr>
          <w:p>
            <w:pPr>
              <w:pStyle w:val="9"/>
            </w:pPr>
            <w:r>
              <w:t>台</w:t>
            </w:r>
          </w:p>
        </w:tc>
        <w:tc>
          <w:tcPr>
            <w:tcW w:w="850" w:type="dxa"/>
            <w:vAlign w:val="center"/>
          </w:tcPr>
          <w:p>
            <w:pPr>
              <w:pStyle w:val="11"/>
            </w:pPr>
            <w:r>
              <w:t>4</w:t>
            </w:r>
          </w:p>
        </w:tc>
        <w:tc>
          <w:tcPr>
            <w:tcW w:w="850" w:type="dxa"/>
            <w:vAlign w:val="center"/>
          </w:tcPr>
          <w:p>
            <w:pPr>
              <w:pStyle w:val="11"/>
            </w:pPr>
            <w:r>
              <w:t>0.60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办案业务费及临时办公场所保障</w:t>
            </w:r>
          </w:p>
        </w:tc>
        <w:tc>
          <w:tcPr>
            <w:tcW w:w="964" w:type="dxa"/>
            <w:vAlign w:val="center"/>
          </w:tcPr>
          <w:p>
            <w:pPr>
              <w:pStyle w:val="11"/>
            </w:pPr>
            <w:r>
              <w:t>450.00</w:t>
            </w:r>
          </w:p>
        </w:tc>
        <w:tc>
          <w:tcPr>
            <w:tcW w:w="1134" w:type="dxa"/>
            <w:vAlign w:val="center"/>
          </w:tcPr>
          <w:p>
            <w:pPr>
              <w:pStyle w:val="10"/>
            </w:pPr>
            <w:r>
              <w:t>车辆维修和保养服务</w:t>
            </w:r>
          </w:p>
        </w:tc>
        <w:tc>
          <w:tcPr>
            <w:tcW w:w="1134" w:type="dxa"/>
            <w:vAlign w:val="center"/>
          </w:tcPr>
          <w:p>
            <w:pPr>
              <w:pStyle w:val="10"/>
            </w:pPr>
            <w:r>
              <w:t>C050301</w:t>
            </w:r>
          </w:p>
        </w:tc>
        <w:tc>
          <w:tcPr>
            <w:tcW w:w="709" w:type="dxa"/>
            <w:vAlign w:val="center"/>
          </w:tcPr>
          <w:p>
            <w:pPr>
              <w:pStyle w:val="9"/>
            </w:pPr>
            <w:r>
              <w:t>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办案业务费及临时办公场所保障</w:t>
            </w:r>
          </w:p>
        </w:tc>
        <w:tc>
          <w:tcPr>
            <w:tcW w:w="964" w:type="dxa"/>
            <w:vAlign w:val="center"/>
          </w:tcPr>
          <w:p>
            <w:pPr>
              <w:pStyle w:val="11"/>
            </w:pPr>
            <w:r>
              <w:t>450.00</w:t>
            </w:r>
          </w:p>
        </w:tc>
        <w:tc>
          <w:tcPr>
            <w:tcW w:w="1134" w:type="dxa"/>
            <w:vAlign w:val="center"/>
          </w:tcPr>
          <w:p>
            <w:pPr>
              <w:pStyle w:val="10"/>
            </w:pPr>
            <w:r>
              <w:t>车辆加油服务</w:t>
            </w:r>
          </w:p>
        </w:tc>
        <w:tc>
          <w:tcPr>
            <w:tcW w:w="1134" w:type="dxa"/>
            <w:vAlign w:val="center"/>
          </w:tcPr>
          <w:p>
            <w:pPr>
              <w:pStyle w:val="10"/>
            </w:pPr>
            <w:r>
              <w:t>C050302</w:t>
            </w:r>
          </w:p>
        </w:tc>
        <w:tc>
          <w:tcPr>
            <w:tcW w:w="709" w:type="dxa"/>
            <w:vAlign w:val="center"/>
          </w:tcPr>
          <w:p>
            <w:pPr>
              <w:pStyle w:val="9"/>
            </w:pPr>
            <w:r>
              <w:t>千升</w:t>
            </w:r>
          </w:p>
        </w:tc>
        <w:tc>
          <w:tcPr>
            <w:tcW w:w="850" w:type="dxa"/>
            <w:vAlign w:val="center"/>
          </w:tcPr>
          <w:p>
            <w:pPr>
              <w:pStyle w:val="11"/>
            </w:pPr>
            <w:r>
              <w:t>20</w:t>
            </w:r>
          </w:p>
        </w:tc>
        <w:tc>
          <w:tcPr>
            <w:tcW w:w="850" w:type="dxa"/>
            <w:vAlign w:val="center"/>
          </w:tcPr>
          <w:p>
            <w:pPr>
              <w:pStyle w:val="11"/>
            </w:pPr>
            <w:r>
              <w:t>0.50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办案业务费及临时办公场所保障</w:t>
            </w:r>
          </w:p>
        </w:tc>
        <w:tc>
          <w:tcPr>
            <w:tcW w:w="964" w:type="dxa"/>
            <w:vAlign w:val="center"/>
          </w:tcPr>
          <w:p>
            <w:pPr>
              <w:pStyle w:val="11"/>
            </w:pPr>
            <w:r>
              <w:t>450.00</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办案业务费及临时办公场所保障</w:t>
            </w:r>
          </w:p>
        </w:tc>
        <w:tc>
          <w:tcPr>
            <w:tcW w:w="964" w:type="dxa"/>
            <w:vAlign w:val="center"/>
          </w:tcPr>
          <w:p>
            <w:pPr>
              <w:pStyle w:val="11"/>
            </w:pPr>
            <w:r>
              <w:t>450.00</w:t>
            </w:r>
          </w:p>
        </w:tc>
        <w:tc>
          <w:tcPr>
            <w:tcW w:w="1134" w:type="dxa"/>
            <w:vAlign w:val="center"/>
          </w:tcPr>
          <w:p>
            <w:pPr>
              <w:pStyle w:val="10"/>
            </w:pPr>
            <w:r>
              <w:t>房屋租赁服务</w:t>
            </w:r>
          </w:p>
        </w:tc>
        <w:tc>
          <w:tcPr>
            <w:tcW w:w="1134" w:type="dxa"/>
            <w:vAlign w:val="center"/>
          </w:tcPr>
          <w:p>
            <w:pPr>
              <w:pStyle w:val="10"/>
            </w:pPr>
            <w:r>
              <w:t>C1202</w:t>
            </w:r>
          </w:p>
        </w:tc>
        <w:tc>
          <w:tcPr>
            <w:tcW w:w="709" w:type="dxa"/>
            <w:vAlign w:val="center"/>
          </w:tcPr>
          <w:p>
            <w:pPr>
              <w:pStyle w:val="9"/>
            </w:pPr>
            <w:r>
              <w:t>间</w:t>
            </w:r>
          </w:p>
        </w:tc>
        <w:tc>
          <w:tcPr>
            <w:tcW w:w="850" w:type="dxa"/>
            <w:vAlign w:val="center"/>
          </w:tcPr>
          <w:p>
            <w:pPr>
              <w:pStyle w:val="11"/>
            </w:pPr>
            <w:r>
              <w:t>15</w:t>
            </w:r>
          </w:p>
        </w:tc>
        <w:tc>
          <w:tcPr>
            <w:tcW w:w="850" w:type="dxa"/>
            <w:vAlign w:val="center"/>
          </w:tcPr>
          <w:p>
            <w:pPr>
              <w:pStyle w:val="11"/>
            </w:pPr>
            <w:r>
              <w:t>6.00</w:t>
            </w:r>
          </w:p>
        </w:tc>
        <w:tc>
          <w:tcPr>
            <w:tcW w:w="964"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办案业务费及临时办公场所保障</w:t>
            </w:r>
          </w:p>
        </w:tc>
        <w:tc>
          <w:tcPr>
            <w:tcW w:w="964" w:type="dxa"/>
            <w:vAlign w:val="center"/>
          </w:tcPr>
          <w:p>
            <w:pPr>
              <w:pStyle w:val="11"/>
            </w:pPr>
            <w:r>
              <w:t>450.00</w:t>
            </w:r>
          </w:p>
        </w:tc>
        <w:tc>
          <w:tcPr>
            <w:tcW w:w="1134" w:type="dxa"/>
            <w:vAlign w:val="center"/>
          </w:tcPr>
          <w:p>
            <w:pPr>
              <w:pStyle w:val="10"/>
            </w:pPr>
            <w:r>
              <w:t>物业管理服务</w:t>
            </w:r>
          </w:p>
        </w:tc>
        <w:tc>
          <w:tcPr>
            <w:tcW w:w="1134" w:type="dxa"/>
            <w:vAlign w:val="center"/>
          </w:tcPr>
          <w:p>
            <w:pPr>
              <w:pStyle w:val="10"/>
            </w:pPr>
            <w:r>
              <w:t>C1204</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46.00</w:t>
            </w:r>
          </w:p>
        </w:tc>
        <w:tc>
          <w:tcPr>
            <w:tcW w:w="964" w:type="dxa"/>
            <w:vAlign w:val="center"/>
          </w:tcPr>
          <w:p>
            <w:pPr>
              <w:pStyle w:val="11"/>
            </w:pPr>
            <w:r>
              <w:t>46.00</w:t>
            </w:r>
          </w:p>
        </w:tc>
        <w:tc>
          <w:tcPr>
            <w:tcW w:w="964" w:type="dxa"/>
            <w:vAlign w:val="center"/>
          </w:tcPr>
          <w:p>
            <w:pPr>
              <w:pStyle w:val="11"/>
            </w:pPr>
            <w:r>
              <w:t>46.00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办案业务费及临时办公场所保障</w:t>
            </w:r>
          </w:p>
        </w:tc>
        <w:tc>
          <w:tcPr>
            <w:tcW w:w="964" w:type="dxa"/>
            <w:vAlign w:val="center"/>
          </w:tcPr>
          <w:p>
            <w:pPr>
              <w:pStyle w:val="11"/>
            </w:pPr>
            <w:r>
              <w:t>450.00</w:t>
            </w:r>
          </w:p>
        </w:tc>
        <w:tc>
          <w:tcPr>
            <w:tcW w:w="1134" w:type="dxa"/>
            <w:vAlign w:val="center"/>
          </w:tcPr>
          <w:p>
            <w:pPr>
              <w:pStyle w:val="10"/>
            </w:pPr>
            <w:r>
              <w:t>机动车保险服务</w:t>
            </w:r>
          </w:p>
        </w:tc>
        <w:tc>
          <w:tcPr>
            <w:tcW w:w="1134" w:type="dxa"/>
            <w:vAlign w:val="center"/>
          </w:tcPr>
          <w:p>
            <w:pPr>
              <w:pStyle w:val="10"/>
            </w:pPr>
            <w:r>
              <w:t>C15040201</w:t>
            </w:r>
          </w:p>
        </w:tc>
        <w:tc>
          <w:tcPr>
            <w:tcW w:w="709" w:type="dxa"/>
            <w:vAlign w:val="center"/>
          </w:tcPr>
          <w:p>
            <w:pPr>
              <w:pStyle w:val="9"/>
            </w:pPr>
            <w:r>
              <w:t>元</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6.50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6.50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10</w:t>
            </w:r>
          </w:p>
        </w:tc>
        <w:tc>
          <w:tcPr>
            <w:tcW w:w="850" w:type="dxa"/>
            <w:vAlign w:val="center"/>
          </w:tcPr>
          <w:p>
            <w:pPr>
              <w:pStyle w:val="11"/>
            </w:pPr>
            <w:r>
              <w:t>6.50</w:t>
            </w:r>
          </w:p>
        </w:tc>
        <w:tc>
          <w:tcPr>
            <w:tcW w:w="964" w:type="dxa"/>
            <w:vAlign w:val="center"/>
          </w:tcPr>
          <w:p>
            <w:pPr>
              <w:pStyle w:val="11"/>
            </w:pPr>
            <w:r>
              <w:t>65.00</w:t>
            </w:r>
          </w:p>
        </w:tc>
        <w:tc>
          <w:tcPr>
            <w:tcW w:w="964" w:type="dxa"/>
            <w:vAlign w:val="center"/>
          </w:tcPr>
          <w:p>
            <w:pPr>
              <w:pStyle w:val="11"/>
            </w:pPr>
            <w:r>
              <w:t>65.00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台式计算机</w:t>
            </w:r>
          </w:p>
        </w:tc>
        <w:tc>
          <w:tcPr>
            <w:tcW w:w="1134" w:type="dxa"/>
            <w:vAlign w:val="center"/>
          </w:tcPr>
          <w:p>
            <w:pPr>
              <w:pStyle w:val="10"/>
            </w:pPr>
            <w:r>
              <w:t>A02010104</w:t>
            </w:r>
          </w:p>
        </w:tc>
        <w:tc>
          <w:tcPr>
            <w:tcW w:w="709" w:type="dxa"/>
            <w:vAlign w:val="center"/>
          </w:tcPr>
          <w:p>
            <w:pPr>
              <w:pStyle w:val="9"/>
            </w:pPr>
            <w:r>
              <w:t>台</w:t>
            </w:r>
          </w:p>
        </w:tc>
        <w:tc>
          <w:tcPr>
            <w:tcW w:w="850" w:type="dxa"/>
            <w:vAlign w:val="center"/>
          </w:tcPr>
          <w:p>
            <w:pPr>
              <w:pStyle w:val="11"/>
            </w:pPr>
            <w:r>
              <w:t>130</w:t>
            </w:r>
          </w:p>
        </w:tc>
        <w:tc>
          <w:tcPr>
            <w:tcW w:w="850" w:type="dxa"/>
            <w:vAlign w:val="center"/>
          </w:tcPr>
          <w:p>
            <w:pPr>
              <w:pStyle w:val="11"/>
            </w:pPr>
            <w:r>
              <w:t>0.88</w:t>
            </w:r>
          </w:p>
        </w:tc>
        <w:tc>
          <w:tcPr>
            <w:tcW w:w="964" w:type="dxa"/>
            <w:vAlign w:val="center"/>
          </w:tcPr>
          <w:p>
            <w:pPr>
              <w:pStyle w:val="11"/>
            </w:pPr>
            <w:r>
              <w:t>114.40</w:t>
            </w:r>
          </w:p>
        </w:tc>
        <w:tc>
          <w:tcPr>
            <w:tcW w:w="964" w:type="dxa"/>
            <w:vAlign w:val="center"/>
          </w:tcPr>
          <w:p>
            <w:pPr>
              <w:pStyle w:val="11"/>
            </w:pPr>
            <w:r>
              <w:t>114.40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其他计算机设备</w:t>
            </w:r>
          </w:p>
        </w:tc>
        <w:tc>
          <w:tcPr>
            <w:tcW w:w="1134" w:type="dxa"/>
            <w:vAlign w:val="center"/>
          </w:tcPr>
          <w:p>
            <w:pPr>
              <w:pStyle w:val="10"/>
            </w:pPr>
            <w:r>
              <w:t>A02010199</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16.50</w:t>
            </w:r>
          </w:p>
        </w:tc>
        <w:tc>
          <w:tcPr>
            <w:tcW w:w="964" w:type="dxa"/>
            <w:vAlign w:val="center"/>
          </w:tcPr>
          <w:p>
            <w:pPr>
              <w:pStyle w:val="11"/>
            </w:pPr>
            <w:r>
              <w:t>16.50</w:t>
            </w:r>
          </w:p>
        </w:tc>
        <w:tc>
          <w:tcPr>
            <w:tcW w:w="964" w:type="dxa"/>
            <w:vAlign w:val="center"/>
          </w:tcPr>
          <w:p>
            <w:pPr>
              <w:pStyle w:val="11"/>
            </w:pPr>
            <w:r>
              <w:t>16.50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其他计算机设备</w:t>
            </w:r>
          </w:p>
        </w:tc>
        <w:tc>
          <w:tcPr>
            <w:tcW w:w="1134" w:type="dxa"/>
            <w:vAlign w:val="center"/>
          </w:tcPr>
          <w:p>
            <w:pPr>
              <w:pStyle w:val="10"/>
            </w:pPr>
            <w:r>
              <w:t>A02010199</w:t>
            </w:r>
          </w:p>
        </w:tc>
        <w:tc>
          <w:tcPr>
            <w:tcW w:w="709" w:type="dxa"/>
            <w:vAlign w:val="center"/>
          </w:tcPr>
          <w:p>
            <w:pPr>
              <w:pStyle w:val="9"/>
            </w:pPr>
            <w:r>
              <w:t>台</w:t>
            </w:r>
          </w:p>
        </w:tc>
        <w:tc>
          <w:tcPr>
            <w:tcW w:w="850" w:type="dxa"/>
            <w:vAlign w:val="center"/>
          </w:tcPr>
          <w:p>
            <w:pPr>
              <w:pStyle w:val="11"/>
            </w:pPr>
            <w:r>
              <w:t>144</w:t>
            </w:r>
          </w:p>
        </w:tc>
        <w:tc>
          <w:tcPr>
            <w:tcW w:w="850" w:type="dxa"/>
            <w:vAlign w:val="center"/>
          </w:tcPr>
          <w:p>
            <w:pPr>
              <w:pStyle w:val="11"/>
            </w:pPr>
            <w:r>
              <w:t>0.24</w:t>
            </w:r>
          </w:p>
        </w:tc>
        <w:tc>
          <w:tcPr>
            <w:tcW w:w="964" w:type="dxa"/>
            <w:vAlign w:val="center"/>
          </w:tcPr>
          <w:p>
            <w:pPr>
              <w:pStyle w:val="11"/>
            </w:pPr>
            <w:r>
              <w:t>33.84</w:t>
            </w:r>
          </w:p>
        </w:tc>
        <w:tc>
          <w:tcPr>
            <w:tcW w:w="964" w:type="dxa"/>
            <w:vAlign w:val="center"/>
          </w:tcPr>
          <w:p>
            <w:pPr>
              <w:pStyle w:val="11"/>
            </w:pPr>
            <w:r>
              <w:t>33.84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路由器</w:t>
            </w:r>
          </w:p>
        </w:tc>
        <w:tc>
          <w:tcPr>
            <w:tcW w:w="1134" w:type="dxa"/>
            <w:vAlign w:val="center"/>
          </w:tcPr>
          <w:p>
            <w:pPr>
              <w:pStyle w:val="10"/>
            </w:pPr>
            <w:r>
              <w:t>A02010201</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6.60</w:t>
            </w:r>
          </w:p>
        </w:tc>
        <w:tc>
          <w:tcPr>
            <w:tcW w:w="964" w:type="dxa"/>
            <w:vAlign w:val="center"/>
          </w:tcPr>
          <w:p>
            <w:pPr>
              <w:pStyle w:val="11"/>
            </w:pPr>
            <w:r>
              <w:t>6.60</w:t>
            </w:r>
          </w:p>
        </w:tc>
        <w:tc>
          <w:tcPr>
            <w:tcW w:w="964" w:type="dxa"/>
            <w:vAlign w:val="center"/>
          </w:tcPr>
          <w:p>
            <w:pPr>
              <w:pStyle w:val="11"/>
            </w:pPr>
            <w:r>
              <w:t>6.60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以太网交换机</w:t>
            </w:r>
          </w:p>
        </w:tc>
        <w:tc>
          <w:tcPr>
            <w:tcW w:w="1134" w:type="dxa"/>
            <w:vAlign w:val="center"/>
          </w:tcPr>
          <w:p>
            <w:pPr>
              <w:pStyle w:val="10"/>
            </w:pPr>
            <w:r>
              <w:t>A0201020201</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以太网交换机</w:t>
            </w:r>
          </w:p>
        </w:tc>
        <w:tc>
          <w:tcPr>
            <w:tcW w:w="1134" w:type="dxa"/>
            <w:vAlign w:val="center"/>
          </w:tcPr>
          <w:p>
            <w:pPr>
              <w:pStyle w:val="10"/>
            </w:pPr>
            <w:r>
              <w:t>A0201020201</w:t>
            </w:r>
          </w:p>
        </w:tc>
        <w:tc>
          <w:tcPr>
            <w:tcW w:w="709" w:type="dxa"/>
            <w:vAlign w:val="center"/>
          </w:tcPr>
          <w:p>
            <w:pPr>
              <w:pStyle w:val="9"/>
            </w:pPr>
            <w:r>
              <w:t>台</w:t>
            </w:r>
          </w:p>
        </w:tc>
        <w:tc>
          <w:tcPr>
            <w:tcW w:w="850" w:type="dxa"/>
            <w:vAlign w:val="center"/>
          </w:tcPr>
          <w:p>
            <w:pPr>
              <w:pStyle w:val="11"/>
            </w:pPr>
            <w:r>
              <w:t>3</w:t>
            </w:r>
          </w:p>
        </w:tc>
        <w:tc>
          <w:tcPr>
            <w:tcW w:w="850" w:type="dxa"/>
            <w:vAlign w:val="center"/>
          </w:tcPr>
          <w:p>
            <w:pPr>
              <w:pStyle w:val="11"/>
            </w:pPr>
            <w:r>
              <w:t>6.40</w:t>
            </w:r>
          </w:p>
        </w:tc>
        <w:tc>
          <w:tcPr>
            <w:tcW w:w="964" w:type="dxa"/>
            <w:vAlign w:val="center"/>
          </w:tcPr>
          <w:p>
            <w:pPr>
              <w:pStyle w:val="11"/>
            </w:pPr>
            <w:r>
              <w:t>19.20</w:t>
            </w:r>
          </w:p>
        </w:tc>
        <w:tc>
          <w:tcPr>
            <w:tcW w:w="964" w:type="dxa"/>
            <w:vAlign w:val="center"/>
          </w:tcPr>
          <w:p>
            <w:pPr>
              <w:pStyle w:val="11"/>
            </w:pPr>
            <w:r>
              <w:t>19.20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以太网交换机</w:t>
            </w:r>
          </w:p>
        </w:tc>
        <w:tc>
          <w:tcPr>
            <w:tcW w:w="1134" w:type="dxa"/>
            <w:vAlign w:val="center"/>
          </w:tcPr>
          <w:p>
            <w:pPr>
              <w:pStyle w:val="10"/>
            </w:pPr>
            <w:r>
              <w:t>A0201020201</w:t>
            </w:r>
          </w:p>
        </w:tc>
        <w:tc>
          <w:tcPr>
            <w:tcW w:w="709" w:type="dxa"/>
            <w:vAlign w:val="center"/>
          </w:tcPr>
          <w:p>
            <w:pPr>
              <w:pStyle w:val="9"/>
            </w:pPr>
            <w:r>
              <w:t>台</w:t>
            </w:r>
          </w:p>
        </w:tc>
        <w:tc>
          <w:tcPr>
            <w:tcW w:w="850" w:type="dxa"/>
            <w:vAlign w:val="center"/>
          </w:tcPr>
          <w:p>
            <w:pPr>
              <w:pStyle w:val="11"/>
            </w:pPr>
            <w:r>
              <w:t>6</w:t>
            </w:r>
          </w:p>
        </w:tc>
        <w:tc>
          <w:tcPr>
            <w:tcW w:w="850" w:type="dxa"/>
            <w:vAlign w:val="center"/>
          </w:tcPr>
          <w:p>
            <w:pPr>
              <w:pStyle w:val="11"/>
            </w:pPr>
            <w:r>
              <w:t>0.30</w:t>
            </w:r>
          </w:p>
        </w:tc>
        <w:tc>
          <w:tcPr>
            <w:tcW w:w="964" w:type="dxa"/>
            <w:vAlign w:val="center"/>
          </w:tcPr>
          <w:p>
            <w:pPr>
              <w:pStyle w:val="11"/>
            </w:pPr>
            <w:r>
              <w:t>1.77</w:t>
            </w:r>
          </w:p>
        </w:tc>
        <w:tc>
          <w:tcPr>
            <w:tcW w:w="964" w:type="dxa"/>
            <w:vAlign w:val="center"/>
          </w:tcPr>
          <w:p>
            <w:pPr>
              <w:pStyle w:val="11"/>
            </w:pPr>
            <w:r>
              <w:t>1.77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以太网交换机</w:t>
            </w:r>
          </w:p>
        </w:tc>
        <w:tc>
          <w:tcPr>
            <w:tcW w:w="1134" w:type="dxa"/>
            <w:vAlign w:val="center"/>
          </w:tcPr>
          <w:p>
            <w:pPr>
              <w:pStyle w:val="10"/>
            </w:pPr>
            <w:r>
              <w:t>A0201020201</w:t>
            </w:r>
          </w:p>
        </w:tc>
        <w:tc>
          <w:tcPr>
            <w:tcW w:w="709" w:type="dxa"/>
            <w:vAlign w:val="center"/>
          </w:tcPr>
          <w:p>
            <w:pPr>
              <w:pStyle w:val="9"/>
            </w:pPr>
            <w:r>
              <w:t>台</w:t>
            </w:r>
          </w:p>
        </w:tc>
        <w:tc>
          <w:tcPr>
            <w:tcW w:w="850" w:type="dxa"/>
            <w:vAlign w:val="center"/>
          </w:tcPr>
          <w:p>
            <w:pPr>
              <w:pStyle w:val="11"/>
            </w:pPr>
            <w:r>
              <w:t>10</w:t>
            </w:r>
          </w:p>
        </w:tc>
        <w:tc>
          <w:tcPr>
            <w:tcW w:w="850" w:type="dxa"/>
            <w:vAlign w:val="center"/>
          </w:tcPr>
          <w:p>
            <w:pPr>
              <w:pStyle w:val="11"/>
            </w:pPr>
            <w:r>
              <w:t>0.22</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终端接入设备</w:t>
            </w:r>
          </w:p>
        </w:tc>
        <w:tc>
          <w:tcPr>
            <w:tcW w:w="1134" w:type="dxa"/>
            <w:vAlign w:val="center"/>
          </w:tcPr>
          <w:p>
            <w:pPr>
              <w:pStyle w:val="10"/>
            </w:pPr>
            <w:r>
              <w:t>A02010205</w:t>
            </w:r>
          </w:p>
        </w:tc>
        <w:tc>
          <w:tcPr>
            <w:tcW w:w="709" w:type="dxa"/>
            <w:vAlign w:val="center"/>
          </w:tcPr>
          <w:p>
            <w:pPr>
              <w:pStyle w:val="9"/>
            </w:pPr>
            <w:r>
              <w:t>台</w:t>
            </w:r>
          </w:p>
        </w:tc>
        <w:tc>
          <w:tcPr>
            <w:tcW w:w="850" w:type="dxa"/>
            <w:vAlign w:val="center"/>
          </w:tcPr>
          <w:p>
            <w:pPr>
              <w:pStyle w:val="11"/>
            </w:pPr>
            <w:r>
              <w:t>6</w:t>
            </w:r>
          </w:p>
        </w:tc>
        <w:tc>
          <w:tcPr>
            <w:tcW w:w="850" w:type="dxa"/>
            <w:vAlign w:val="center"/>
          </w:tcPr>
          <w:p>
            <w:pPr>
              <w:pStyle w:val="11"/>
            </w:pPr>
            <w:r>
              <w:t>12.00</w:t>
            </w:r>
          </w:p>
        </w:tc>
        <w:tc>
          <w:tcPr>
            <w:tcW w:w="964" w:type="dxa"/>
            <w:vAlign w:val="center"/>
          </w:tcPr>
          <w:p>
            <w:pPr>
              <w:pStyle w:val="11"/>
            </w:pPr>
            <w:r>
              <w:t>72.00</w:t>
            </w:r>
          </w:p>
        </w:tc>
        <w:tc>
          <w:tcPr>
            <w:tcW w:w="964" w:type="dxa"/>
            <w:vAlign w:val="center"/>
          </w:tcPr>
          <w:p>
            <w:pPr>
              <w:pStyle w:val="11"/>
            </w:pPr>
            <w:r>
              <w:t>72.00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终端接入设备</w:t>
            </w:r>
          </w:p>
        </w:tc>
        <w:tc>
          <w:tcPr>
            <w:tcW w:w="1134" w:type="dxa"/>
            <w:vAlign w:val="center"/>
          </w:tcPr>
          <w:p>
            <w:pPr>
              <w:pStyle w:val="10"/>
            </w:pPr>
            <w:r>
              <w:t>A02010205</w:t>
            </w:r>
          </w:p>
        </w:tc>
        <w:tc>
          <w:tcPr>
            <w:tcW w:w="709" w:type="dxa"/>
            <w:vAlign w:val="center"/>
          </w:tcPr>
          <w:p>
            <w:pPr>
              <w:pStyle w:val="9"/>
            </w:pPr>
            <w:r>
              <w:t>台</w:t>
            </w:r>
          </w:p>
        </w:tc>
        <w:tc>
          <w:tcPr>
            <w:tcW w:w="850" w:type="dxa"/>
            <w:vAlign w:val="center"/>
          </w:tcPr>
          <w:p>
            <w:pPr>
              <w:pStyle w:val="11"/>
            </w:pPr>
            <w:r>
              <w:t>210</w:t>
            </w:r>
          </w:p>
        </w:tc>
        <w:tc>
          <w:tcPr>
            <w:tcW w:w="850" w:type="dxa"/>
            <w:vAlign w:val="center"/>
          </w:tcPr>
          <w:p>
            <w:pPr>
              <w:pStyle w:val="11"/>
            </w:pPr>
            <w:r>
              <w:t>0.25</w:t>
            </w:r>
          </w:p>
        </w:tc>
        <w:tc>
          <w:tcPr>
            <w:tcW w:w="964" w:type="dxa"/>
            <w:vAlign w:val="center"/>
          </w:tcPr>
          <w:p>
            <w:pPr>
              <w:pStyle w:val="11"/>
            </w:pPr>
            <w:r>
              <w:t>52.50</w:t>
            </w:r>
          </w:p>
        </w:tc>
        <w:tc>
          <w:tcPr>
            <w:tcW w:w="964" w:type="dxa"/>
            <w:vAlign w:val="center"/>
          </w:tcPr>
          <w:p>
            <w:pPr>
              <w:pStyle w:val="11"/>
            </w:pPr>
            <w:r>
              <w:t>52.50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通信控制器</w:t>
            </w:r>
          </w:p>
        </w:tc>
        <w:tc>
          <w:tcPr>
            <w:tcW w:w="1134" w:type="dxa"/>
            <w:vAlign w:val="center"/>
          </w:tcPr>
          <w:p>
            <w:pPr>
              <w:pStyle w:val="10"/>
            </w:pPr>
            <w:r>
              <w:t>A0201020602</w:t>
            </w:r>
          </w:p>
        </w:tc>
        <w:tc>
          <w:tcPr>
            <w:tcW w:w="709" w:type="dxa"/>
            <w:vAlign w:val="center"/>
          </w:tcPr>
          <w:p>
            <w:pPr>
              <w:pStyle w:val="9"/>
            </w:pPr>
            <w:r>
              <w:t>台</w:t>
            </w:r>
          </w:p>
        </w:tc>
        <w:tc>
          <w:tcPr>
            <w:tcW w:w="850" w:type="dxa"/>
            <w:vAlign w:val="center"/>
          </w:tcPr>
          <w:p>
            <w:pPr>
              <w:pStyle w:val="11"/>
            </w:pPr>
            <w:r>
              <w:t>5</w:t>
            </w:r>
          </w:p>
        </w:tc>
        <w:tc>
          <w:tcPr>
            <w:tcW w:w="850" w:type="dxa"/>
            <w:vAlign w:val="center"/>
          </w:tcPr>
          <w:p>
            <w:pPr>
              <w:pStyle w:val="11"/>
            </w:pPr>
            <w:r>
              <w:t>1.30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通信控制器</w:t>
            </w:r>
          </w:p>
        </w:tc>
        <w:tc>
          <w:tcPr>
            <w:tcW w:w="1134" w:type="dxa"/>
            <w:vAlign w:val="center"/>
          </w:tcPr>
          <w:p>
            <w:pPr>
              <w:pStyle w:val="10"/>
            </w:pPr>
            <w:r>
              <w:t>A0201020602</w:t>
            </w:r>
          </w:p>
        </w:tc>
        <w:tc>
          <w:tcPr>
            <w:tcW w:w="709" w:type="dxa"/>
            <w:vAlign w:val="center"/>
          </w:tcPr>
          <w:p>
            <w:pPr>
              <w:pStyle w:val="9"/>
            </w:pPr>
            <w:r>
              <w:t>台</w:t>
            </w:r>
          </w:p>
        </w:tc>
        <w:tc>
          <w:tcPr>
            <w:tcW w:w="850" w:type="dxa"/>
            <w:vAlign w:val="center"/>
          </w:tcPr>
          <w:p>
            <w:pPr>
              <w:pStyle w:val="11"/>
            </w:pPr>
            <w:r>
              <w:t>5</w:t>
            </w:r>
          </w:p>
        </w:tc>
        <w:tc>
          <w:tcPr>
            <w:tcW w:w="850" w:type="dxa"/>
            <w:vAlign w:val="center"/>
          </w:tcPr>
          <w:p>
            <w:pPr>
              <w:pStyle w:val="11"/>
            </w:pPr>
            <w:r>
              <w:t>1.42</w:t>
            </w:r>
          </w:p>
        </w:tc>
        <w:tc>
          <w:tcPr>
            <w:tcW w:w="964" w:type="dxa"/>
            <w:vAlign w:val="center"/>
          </w:tcPr>
          <w:p>
            <w:pPr>
              <w:pStyle w:val="11"/>
            </w:pPr>
            <w:r>
              <w:t>7.08</w:t>
            </w:r>
          </w:p>
        </w:tc>
        <w:tc>
          <w:tcPr>
            <w:tcW w:w="964" w:type="dxa"/>
            <w:vAlign w:val="center"/>
          </w:tcPr>
          <w:p>
            <w:pPr>
              <w:pStyle w:val="11"/>
            </w:pPr>
            <w:r>
              <w:t>7.08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光纤转换器</w:t>
            </w:r>
          </w:p>
        </w:tc>
        <w:tc>
          <w:tcPr>
            <w:tcW w:w="1134" w:type="dxa"/>
            <w:vAlign w:val="center"/>
          </w:tcPr>
          <w:p>
            <w:pPr>
              <w:pStyle w:val="10"/>
            </w:pPr>
            <w:r>
              <w:t>A0201020704</w:t>
            </w:r>
          </w:p>
        </w:tc>
        <w:tc>
          <w:tcPr>
            <w:tcW w:w="709" w:type="dxa"/>
            <w:vAlign w:val="center"/>
          </w:tcPr>
          <w:p>
            <w:pPr>
              <w:pStyle w:val="9"/>
            </w:pPr>
            <w:r>
              <w:t>台</w:t>
            </w:r>
          </w:p>
        </w:tc>
        <w:tc>
          <w:tcPr>
            <w:tcW w:w="850" w:type="dxa"/>
            <w:vAlign w:val="center"/>
          </w:tcPr>
          <w:p>
            <w:pPr>
              <w:pStyle w:val="11"/>
            </w:pPr>
            <w:r>
              <w:t>20</w:t>
            </w:r>
          </w:p>
        </w:tc>
        <w:tc>
          <w:tcPr>
            <w:tcW w:w="850" w:type="dxa"/>
            <w:vAlign w:val="center"/>
          </w:tcPr>
          <w:p>
            <w:pPr>
              <w:pStyle w:val="11"/>
            </w:pPr>
            <w:r>
              <w:t>0.12</w:t>
            </w:r>
          </w:p>
        </w:tc>
        <w:tc>
          <w:tcPr>
            <w:tcW w:w="964" w:type="dxa"/>
            <w:vAlign w:val="center"/>
          </w:tcPr>
          <w:p>
            <w:pPr>
              <w:pStyle w:val="11"/>
            </w:pPr>
            <w:r>
              <w:t>2.30</w:t>
            </w:r>
          </w:p>
        </w:tc>
        <w:tc>
          <w:tcPr>
            <w:tcW w:w="964" w:type="dxa"/>
            <w:vAlign w:val="center"/>
          </w:tcPr>
          <w:p>
            <w:pPr>
              <w:pStyle w:val="11"/>
            </w:pPr>
            <w:r>
              <w:t>2.30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网关</w:t>
            </w:r>
          </w:p>
        </w:tc>
        <w:tc>
          <w:tcPr>
            <w:tcW w:w="1134" w:type="dxa"/>
            <w:vAlign w:val="center"/>
          </w:tcPr>
          <w:p>
            <w:pPr>
              <w:pStyle w:val="10"/>
            </w:pPr>
            <w:r>
              <w:t>A0201020901</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14.51</w:t>
            </w:r>
          </w:p>
        </w:tc>
        <w:tc>
          <w:tcPr>
            <w:tcW w:w="964" w:type="dxa"/>
            <w:vAlign w:val="center"/>
          </w:tcPr>
          <w:p>
            <w:pPr>
              <w:pStyle w:val="11"/>
            </w:pPr>
            <w:r>
              <w:t>14.51</w:t>
            </w:r>
          </w:p>
        </w:tc>
        <w:tc>
          <w:tcPr>
            <w:tcW w:w="964" w:type="dxa"/>
            <w:vAlign w:val="center"/>
          </w:tcPr>
          <w:p>
            <w:pPr>
              <w:pStyle w:val="11"/>
            </w:pPr>
            <w:r>
              <w:t>14.51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防火墙</w:t>
            </w:r>
          </w:p>
        </w:tc>
        <w:tc>
          <w:tcPr>
            <w:tcW w:w="1134" w:type="dxa"/>
            <w:vAlign w:val="center"/>
          </w:tcPr>
          <w:p>
            <w:pPr>
              <w:pStyle w:val="10"/>
            </w:pPr>
            <w:r>
              <w:t>A02010301</w:t>
            </w:r>
          </w:p>
        </w:tc>
        <w:tc>
          <w:tcPr>
            <w:tcW w:w="709" w:type="dxa"/>
            <w:vAlign w:val="center"/>
          </w:tcPr>
          <w:p>
            <w:pPr>
              <w:pStyle w:val="9"/>
            </w:pPr>
            <w:r>
              <w:t>台</w:t>
            </w:r>
          </w:p>
        </w:tc>
        <w:tc>
          <w:tcPr>
            <w:tcW w:w="850" w:type="dxa"/>
            <w:vAlign w:val="center"/>
          </w:tcPr>
          <w:p>
            <w:pPr>
              <w:pStyle w:val="11"/>
            </w:pPr>
            <w:r>
              <w:t>8</w:t>
            </w:r>
          </w:p>
        </w:tc>
        <w:tc>
          <w:tcPr>
            <w:tcW w:w="850" w:type="dxa"/>
            <w:vAlign w:val="center"/>
          </w:tcPr>
          <w:p>
            <w:pPr>
              <w:pStyle w:val="11"/>
            </w:pPr>
            <w:r>
              <w:t>10.54</w:t>
            </w:r>
          </w:p>
        </w:tc>
        <w:tc>
          <w:tcPr>
            <w:tcW w:w="964" w:type="dxa"/>
            <w:vAlign w:val="center"/>
          </w:tcPr>
          <w:p>
            <w:pPr>
              <w:pStyle w:val="11"/>
            </w:pPr>
            <w:r>
              <w:t>84.32</w:t>
            </w:r>
          </w:p>
        </w:tc>
        <w:tc>
          <w:tcPr>
            <w:tcW w:w="964" w:type="dxa"/>
            <w:vAlign w:val="center"/>
          </w:tcPr>
          <w:p>
            <w:pPr>
              <w:pStyle w:val="11"/>
            </w:pPr>
            <w:r>
              <w:t>84.32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入侵检测设备</w:t>
            </w:r>
          </w:p>
        </w:tc>
        <w:tc>
          <w:tcPr>
            <w:tcW w:w="1134" w:type="dxa"/>
            <w:vAlign w:val="center"/>
          </w:tcPr>
          <w:p>
            <w:pPr>
              <w:pStyle w:val="10"/>
            </w:pPr>
            <w:r>
              <w:t>A02010302</w:t>
            </w:r>
          </w:p>
        </w:tc>
        <w:tc>
          <w:tcPr>
            <w:tcW w:w="709" w:type="dxa"/>
            <w:vAlign w:val="center"/>
          </w:tcPr>
          <w:p>
            <w:pPr>
              <w:pStyle w:val="9"/>
            </w:pPr>
            <w:r>
              <w:t>台</w:t>
            </w:r>
          </w:p>
        </w:tc>
        <w:tc>
          <w:tcPr>
            <w:tcW w:w="850" w:type="dxa"/>
            <w:vAlign w:val="center"/>
          </w:tcPr>
          <w:p>
            <w:pPr>
              <w:pStyle w:val="11"/>
            </w:pPr>
            <w:r>
              <w:t>4</w:t>
            </w:r>
          </w:p>
        </w:tc>
        <w:tc>
          <w:tcPr>
            <w:tcW w:w="850" w:type="dxa"/>
            <w:vAlign w:val="center"/>
          </w:tcPr>
          <w:p>
            <w:pPr>
              <w:pStyle w:val="11"/>
            </w:pPr>
            <w:r>
              <w:t>12.90</w:t>
            </w:r>
          </w:p>
        </w:tc>
        <w:tc>
          <w:tcPr>
            <w:tcW w:w="964" w:type="dxa"/>
            <w:vAlign w:val="center"/>
          </w:tcPr>
          <w:p>
            <w:pPr>
              <w:pStyle w:val="11"/>
            </w:pPr>
            <w:r>
              <w:t>51.60</w:t>
            </w:r>
          </w:p>
        </w:tc>
        <w:tc>
          <w:tcPr>
            <w:tcW w:w="964" w:type="dxa"/>
            <w:vAlign w:val="center"/>
          </w:tcPr>
          <w:p>
            <w:pPr>
              <w:pStyle w:val="11"/>
            </w:pPr>
            <w:r>
              <w:t>51.60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漏洞扫描设备</w:t>
            </w:r>
          </w:p>
        </w:tc>
        <w:tc>
          <w:tcPr>
            <w:tcW w:w="1134" w:type="dxa"/>
            <w:vAlign w:val="center"/>
          </w:tcPr>
          <w:p>
            <w:pPr>
              <w:pStyle w:val="10"/>
            </w:pPr>
            <w:r>
              <w:t>A02010304</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安全审计设备</w:t>
            </w:r>
          </w:p>
        </w:tc>
        <w:tc>
          <w:tcPr>
            <w:tcW w:w="1134" w:type="dxa"/>
            <w:vAlign w:val="center"/>
          </w:tcPr>
          <w:p>
            <w:pPr>
              <w:pStyle w:val="10"/>
            </w:pPr>
            <w:r>
              <w:t>A02010307</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存储用光纤交换机</w:t>
            </w:r>
          </w:p>
        </w:tc>
        <w:tc>
          <w:tcPr>
            <w:tcW w:w="1134" w:type="dxa"/>
            <w:vAlign w:val="center"/>
          </w:tcPr>
          <w:p>
            <w:pPr>
              <w:pStyle w:val="10"/>
            </w:pPr>
            <w:r>
              <w:t>A02010503</w:t>
            </w:r>
          </w:p>
        </w:tc>
        <w:tc>
          <w:tcPr>
            <w:tcW w:w="709" w:type="dxa"/>
            <w:vAlign w:val="center"/>
          </w:tcPr>
          <w:p>
            <w:pPr>
              <w:pStyle w:val="9"/>
            </w:pPr>
            <w:r>
              <w:t>台</w:t>
            </w:r>
          </w:p>
        </w:tc>
        <w:tc>
          <w:tcPr>
            <w:tcW w:w="850" w:type="dxa"/>
            <w:vAlign w:val="center"/>
          </w:tcPr>
          <w:p>
            <w:pPr>
              <w:pStyle w:val="11"/>
            </w:pPr>
            <w:r>
              <w:t>3</w:t>
            </w:r>
          </w:p>
        </w:tc>
        <w:tc>
          <w:tcPr>
            <w:tcW w:w="850" w:type="dxa"/>
            <w:vAlign w:val="center"/>
          </w:tcPr>
          <w:p>
            <w:pPr>
              <w:pStyle w:val="11"/>
            </w:pPr>
            <w:r>
              <w:t>0.88</w:t>
            </w:r>
          </w:p>
        </w:tc>
        <w:tc>
          <w:tcPr>
            <w:tcW w:w="964" w:type="dxa"/>
            <w:vAlign w:val="center"/>
          </w:tcPr>
          <w:p>
            <w:pPr>
              <w:pStyle w:val="11"/>
            </w:pPr>
            <w:r>
              <w:t>2.64</w:t>
            </w:r>
          </w:p>
        </w:tc>
        <w:tc>
          <w:tcPr>
            <w:tcW w:w="964" w:type="dxa"/>
            <w:vAlign w:val="center"/>
          </w:tcPr>
          <w:p>
            <w:pPr>
              <w:pStyle w:val="11"/>
            </w:pPr>
            <w:r>
              <w:t>2.64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喷墨打印机</w:t>
            </w:r>
          </w:p>
        </w:tc>
        <w:tc>
          <w:tcPr>
            <w:tcW w:w="1134" w:type="dxa"/>
            <w:vAlign w:val="center"/>
          </w:tcPr>
          <w:p>
            <w:pPr>
              <w:pStyle w:val="10"/>
            </w:pPr>
            <w:r>
              <w:t>A0201060101</w:t>
            </w:r>
          </w:p>
        </w:tc>
        <w:tc>
          <w:tcPr>
            <w:tcW w:w="709" w:type="dxa"/>
            <w:vAlign w:val="center"/>
          </w:tcPr>
          <w:p>
            <w:pPr>
              <w:pStyle w:val="9"/>
            </w:pPr>
            <w:r>
              <w:t>台</w:t>
            </w:r>
          </w:p>
        </w:tc>
        <w:tc>
          <w:tcPr>
            <w:tcW w:w="850" w:type="dxa"/>
            <w:vAlign w:val="center"/>
          </w:tcPr>
          <w:p>
            <w:pPr>
              <w:pStyle w:val="11"/>
            </w:pPr>
            <w:r>
              <w:t>130</w:t>
            </w:r>
          </w:p>
        </w:tc>
        <w:tc>
          <w:tcPr>
            <w:tcW w:w="850" w:type="dxa"/>
            <w:vAlign w:val="center"/>
          </w:tcPr>
          <w:p>
            <w:pPr>
              <w:pStyle w:val="11"/>
            </w:pPr>
            <w:r>
              <w:t>0.24</w:t>
            </w:r>
          </w:p>
        </w:tc>
        <w:tc>
          <w:tcPr>
            <w:tcW w:w="964" w:type="dxa"/>
            <w:vAlign w:val="center"/>
          </w:tcPr>
          <w:p>
            <w:pPr>
              <w:pStyle w:val="11"/>
            </w:pPr>
            <w:r>
              <w:t>30.55</w:t>
            </w:r>
          </w:p>
        </w:tc>
        <w:tc>
          <w:tcPr>
            <w:tcW w:w="964" w:type="dxa"/>
            <w:vAlign w:val="center"/>
          </w:tcPr>
          <w:p>
            <w:pPr>
              <w:pStyle w:val="11"/>
            </w:pPr>
            <w:r>
              <w:t>30.55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其他打印设备</w:t>
            </w:r>
          </w:p>
        </w:tc>
        <w:tc>
          <w:tcPr>
            <w:tcW w:w="1134" w:type="dxa"/>
            <w:vAlign w:val="center"/>
          </w:tcPr>
          <w:p>
            <w:pPr>
              <w:pStyle w:val="10"/>
            </w:pPr>
            <w:r>
              <w:t>A0201060199</w:t>
            </w:r>
          </w:p>
        </w:tc>
        <w:tc>
          <w:tcPr>
            <w:tcW w:w="709" w:type="dxa"/>
            <w:vAlign w:val="center"/>
          </w:tcPr>
          <w:p>
            <w:pPr>
              <w:pStyle w:val="9"/>
            </w:pPr>
            <w:r>
              <w:t>台</w:t>
            </w:r>
          </w:p>
        </w:tc>
        <w:tc>
          <w:tcPr>
            <w:tcW w:w="850" w:type="dxa"/>
            <w:vAlign w:val="center"/>
          </w:tcPr>
          <w:p>
            <w:pPr>
              <w:pStyle w:val="11"/>
            </w:pPr>
            <w:r>
              <w:t>5</w:t>
            </w:r>
          </w:p>
        </w:tc>
        <w:tc>
          <w:tcPr>
            <w:tcW w:w="850" w:type="dxa"/>
            <w:vAlign w:val="center"/>
          </w:tcPr>
          <w:p>
            <w:pPr>
              <w:pStyle w:val="11"/>
            </w:pPr>
            <w:r>
              <w:t>0.98</w:t>
            </w:r>
          </w:p>
        </w:tc>
        <w:tc>
          <w:tcPr>
            <w:tcW w:w="964" w:type="dxa"/>
            <w:vAlign w:val="center"/>
          </w:tcPr>
          <w:p>
            <w:pPr>
              <w:pStyle w:val="11"/>
            </w:pPr>
            <w:r>
              <w:t>4.90</w:t>
            </w:r>
          </w:p>
        </w:tc>
        <w:tc>
          <w:tcPr>
            <w:tcW w:w="964" w:type="dxa"/>
            <w:vAlign w:val="center"/>
          </w:tcPr>
          <w:p>
            <w:pPr>
              <w:pStyle w:val="11"/>
            </w:pPr>
            <w:r>
              <w:t>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KVM设备</w:t>
            </w:r>
          </w:p>
        </w:tc>
        <w:tc>
          <w:tcPr>
            <w:tcW w:w="1134" w:type="dxa"/>
            <w:vAlign w:val="center"/>
          </w:tcPr>
          <w:p>
            <w:pPr>
              <w:pStyle w:val="10"/>
            </w:pPr>
            <w:r>
              <w:t>A02010605</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0.80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扫描仪</w:t>
            </w:r>
          </w:p>
        </w:tc>
        <w:tc>
          <w:tcPr>
            <w:tcW w:w="1134" w:type="dxa"/>
            <w:vAlign w:val="center"/>
          </w:tcPr>
          <w:p>
            <w:pPr>
              <w:pStyle w:val="10"/>
            </w:pPr>
            <w:r>
              <w:t>A0201060901</w:t>
            </w:r>
          </w:p>
        </w:tc>
        <w:tc>
          <w:tcPr>
            <w:tcW w:w="709" w:type="dxa"/>
            <w:vAlign w:val="center"/>
          </w:tcPr>
          <w:p>
            <w:pPr>
              <w:pStyle w:val="9"/>
            </w:pPr>
            <w:r>
              <w:t>台</w:t>
            </w:r>
          </w:p>
        </w:tc>
        <w:tc>
          <w:tcPr>
            <w:tcW w:w="850" w:type="dxa"/>
            <w:vAlign w:val="center"/>
          </w:tcPr>
          <w:p>
            <w:pPr>
              <w:pStyle w:val="11"/>
            </w:pPr>
            <w:r>
              <w:t>20</w:t>
            </w:r>
          </w:p>
        </w:tc>
        <w:tc>
          <w:tcPr>
            <w:tcW w:w="850" w:type="dxa"/>
            <w:vAlign w:val="center"/>
          </w:tcPr>
          <w:p>
            <w:pPr>
              <w:pStyle w:val="11"/>
            </w:pPr>
            <w:r>
              <w:t>0.65</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其他基础软件</w:t>
            </w:r>
          </w:p>
        </w:tc>
        <w:tc>
          <w:tcPr>
            <w:tcW w:w="1134" w:type="dxa"/>
            <w:vAlign w:val="center"/>
          </w:tcPr>
          <w:p>
            <w:pPr>
              <w:pStyle w:val="10"/>
            </w:pPr>
            <w:r>
              <w:t>A0201080199</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280.00</w:t>
            </w:r>
          </w:p>
        </w:tc>
        <w:tc>
          <w:tcPr>
            <w:tcW w:w="964" w:type="dxa"/>
            <w:vAlign w:val="center"/>
          </w:tcPr>
          <w:p>
            <w:pPr>
              <w:pStyle w:val="11"/>
            </w:pPr>
            <w:r>
              <w:t>280.00</w:t>
            </w:r>
          </w:p>
        </w:tc>
        <w:tc>
          <w:tcPr>
            <w:tcW w:w="964" w:type="dxa"/>
            <w:vAlign w:val="center"/>
          </w:tcPr>
          <w:p>
            <w:pPr>
              <w:pStyle w:val="11"/>
            </w:pPr>
            <w:r>
              <w:t>280.00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信息安全软件</w:t>
            </w:r>
          </w:p>
        </w:tc>
        <w:tc>
          <w:tcPr>
            <w:tcW w:w="1134" w:type="dxa"/>
            <w:vAlign w:val="center"/>
          </w:tcPr>
          <w:p>
            <w:pPr>
              <w:pStyle w:val="10"/>
            </w:pPr>
            <w:r>
              <w:t>A02010805</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15.90</w:t>
            </w:r>
          </w:p>
        </w:tc>
        <w:tc>
          <w:tcPr>
            <w:tcW w:w="964" w:type="dxa"/>
            <w:vAlign w:val="center"/>
          </w:tcPr>
          <w:p>
            <w:pPr>
              <w:pStyle w:val="11"/>
            </w:pPr>
            <w:r>
              <w:t>15.90</w:t>
            </w:r>
          </w:p>
        </w:tc>
        <w:tc>
          <w:tcPr>
            <w:tcW w:w="964" w:type="dxa"/>
            <w:vAlign w:val="center"/>
          </w:tcPr>
          <w:p>
            <w:pPr>
              <w:pStyle w:val="11"/>
            </w:pPr>
            <w:r>
              <w:t>15.90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信息安全软件</w:t>
            </w:r>
          </w:p>
        </w:tc>
        <w:tc>
          <w:tcPr>
            <w:tcW w:w="1134" w:type="dxa"/>
            <w:vAlign w:val="center"/>
          </w:tcPr>
          <w:p>
            <w:pPr>
              <w:pStyle w:val="10"/>
            </w:pPr>
            <w:r>
              <w:t>A02010805</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4.29</w:t>
            </w:r>
          </w:p>
        </w:tc>
        <w:tc>
          <w:tcPr>
            <w:tcW w:w="964" w:type="dxa"/>
            <w:vAlign w:val="center"/>
          </w:tcPr>
          <w:p>
            <w:pPr>
              <w:pStyle w:val="11"/>
            </w:pPr>
            <w:r>
              <w:t>4.29</w:t>
            </w:r>
          </w:p>
        </w:tc>
        <w:tc>
          <w:tcPr>
            <w:tcW w:w="964" w:type="dxa"/>
            <w:vAlign w:val="center"/>
          </w:tcPr>
          <w:p>
            <w:pPr>
              <w:pStyle w:val="11"/>
            </w:pPr>
            <w:r>
              <w:t>4.29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信息安全软件</w:t>
            </w:r>
          </w:p>
        </w:tc>
        <w:tc>
          <w:tcPr>
            <w:tcW w:w="1134" w:type="dxa"/>
            <w:vAlign w:val="center"/>
          </w:tcPr>
          <w:p>
            <w:pPr>
              <w:pStyle w:val="10"/>
            </w:pPr>
            <w:r>
              <w:t>A02010805</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4.34</w:t>
            </w:r>
          </w:p>
        </w:tc>
        <w:tc>
          <w:tcPr>
            <w:tcW w:w="964" w:type="dxa"/>
            <w:vAlign w:val="center"/>
          </w:tcPr>
          <w:p>
            <w:pPr>
              <w:pStyle w:val="11"/>
            </w:pPr>
            <w:r>
              <w:t>4.34</w:t>
            </w:r>
          </w:p>
        </w:tc>
        <w:tc>
          <w:tcPr>
            <w:tcW w:w="964" w:type="dxa"/>
            <w:vAlign w:val="center"/>
          </w:tcPr>
          <w:p>
            <w:pPr>
              <w:pStyle w:val="11"/>
            </w:pPr>
            <w:r>
              <w:t>4.34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信息安全软件</w:t>
            </w:r>
          </w:p>
        </w:tc>
        <w:tc>
          <w:tcPr>
            <w:tcW w:w="1134" w:type="dxa"/>
            <w:vAlign w:val="center"/>
          </w:tcPr>
          <w:p>
            <w:pPr>
              <w:pStyle w:val="10"/>
            </w:pPr>
            <w:r>
              <w:t>A02010805</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信息安全软件</w:t>
            </w:r>
          </w:p>
        </w:tc>
        <w:tc>
          <w:tcPr>
            <w:tcW w:w="1134" w:type="dxa"/>
            <w:vAlign w:val="center"/>
          </w:tcPr>
          <w:p>
            <w:pPr>
              <w:pStyle w:val="10"/>
            </w:pPr>
            <w:r>
              <w:t>A02010805</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16.50</w:t>
            </w:r>
          </w:p>
        </w:tc>
        <w:tc>
          <w:tcPr>
            <w:tcW w:w="964" w:type="dxa"/>
            <w:vAlign w:val="center"/>
          </w:tcPr>
          <w:p>
            <w:pPr>
              <w:pStyle w:val="11"/>
            </w:pPr>
            <w:r>
              <w:t>16.50</w:t>
            </w:r>
          </w:p>
        </w:tc>
        <w:tc>
          <w:tcPr>
            <w:tcW w:w="964" w:type="dxa"/>
            <w:vAlign w:val="center"/>
          </w:tcPr>
          <w:p>
            <w:pPr>
              <w:pStyle w:val="11"/>
            </w:pPr>
            <w:r>
              <w:t>16.50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防磁柜</w:t>
            </w:r>
          </w:p>
        </w:tc>
        <w:tc>
          <w:tcPr>
            <w:tcW w:w="1134" w:type="dxa"/>
            <w:vAlign w:val="center"/>
          </w:tcPr>
          <w:p>
            <w:pPr>
              <w:pStyle w:val="10"/>
            </w:pPr>
            <w:r>
              <w:t>A02040106</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防磁柜</w:t>
            </w:r>
          </w:p>
        </w:tc>
        <w:tc>
          <w:tcPr>
            <w:tcW w:w="1134" w:type="dxa"/>
            <w:vAlign w:val="center"/>
          </w:tcPr>
          <w:p>
            <w:pPr>
              <w:pStyle w:val="10"/>
            </w:pPr>
            <w:r>
              <w:t>A02040106</w:t>
            </w:r>
          </w:p>
        </w:tc>
        <w:tc>
          <w:tcPr>
            <w:tcW w:w="709" w:type="dxa"/>
            <w:vAlign w:val="center"/>
          </w:tcPr>
          <w:p>
            <w:pPr>
              <w:pStyle w:val="9"/>
            </w:pPr>
            <w:r>
              <w:t>台</w:t>
            </w:r>
          </w:p>
        </w:tc>
        <w:tc>
          <w:tcPr>
            <w:tcW w:w="850" w:type="dxa"/>
            <w:vAlign w:val="center"/>
          </w:tcPr>
          <w:p>
            <w:pPr>
              <w:pStyle w:val="11"/>
            </w:pPr>
            <w:r>
              <w:t>3</w:t>
            </w:r>
          </w:p>
        </w:tc>
        <w:tc>
          <w:tcPr>
            <w:tcW w:w="850" w:type="dxa"/>
            <w:vAlign w:val="center"/>
          </w:tcPr>
          <w:p>
            <w:pPr>
              <w:pStyle w:val="11"/>
            </w:pPr>
            <w:r>
              <w:t>3.52</w:t>
            </w:r>
          </w:p>
        </w:tc>
        <w:tc>
          <w:tcPr>
            <w:tcW w:w="964" w:type="dxa"/>
            <w:vAlign w:val="center"/>
          </w:tcPr>
          <w:p>
            <w:pPr>
              <w:pStyle w:val="11"/>
            </w:pPr>
            <w:r>
              <w:t>10.56</w:t>
            </w:r>
          </w:p>
        </w:tc>
        <w:tc>
          <w:tcPr>
            <w:tcW w:w="964" w:type="dxa"/>
            <w:vAlign w:val="center"/>
          </w:tcPr>
          <w:p>
            <w:pPr>
              <w:pStyle w:val="11"/>
            </w:pPr>
            <w:r>
              <w:t>10.56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金属质柜类</w:t>
            </w:r>
          </w:p>
        </w:tc>
        <w:tc>
          <w:tcPr>
            <w:tcW w:w="1134" w:type="dxa"/>
            <w:vAlign w:val="center"/>
          </w:tcPr>
          <w:p>
            <w:pPr>
              <w:pStyle w:val="10"/>
            </w:pPr>
            <w:r>
              <w:t>A060503</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检察专网涉密信息系统分级保护项目</w:t>
            </w:r>
          </w:p>
        </w:tc>
        <w:tc>
          <w:tcPr>
            <w:tcW w:w="964" w:type="dxa"/>
            <w:vAlign w:val="center"/>
          </w:tcPr>
          <w:p>
            <w:pPr>
              <w:pStyle w:val="11"/>
            </w:pPr>
            <w:r>
              <w:t>1605.20</w:t>
            </w:r>
          </w:p>
        </w:tc>
        <w:tc>
          <w:tcPr>
            <w:tcW w:w="1134" w:type="dxa"/>
            <w:vAlign w:val="center"/>
          </w:tcPr>
          <w:p>
            <w:pPr>
              <w:pStyle w:val="10"/>
            </w:pPr>
            <w:r>
              <w:t>行业应用软件开发服务</w:t>
            </w:r>
          </w:p>
        </w:tc>
        <w:tc>
          <w:tcPr>
            <w:tcW w:w="1134" w:type="dxa"/>
            <w:vAlign w:val="center"/>
          </w:tcPr>
          <w:p>
            <w:pPr>
              <w:pStyle w:val="10"/>
            </w:pPr>
            <w:r>
              <w:t>C02010302</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123.00</w:t>
            </w:r>
          </w:p>
        </w:tc>
        <w:tc>
          <w:tcPr>
            <w:tcW w:w="964" w:type="dxa"/>
            <w:vAlign w:val="center"/>
          </w:tcPr>
          <w:p>
            <w:pPr>
              <w:pStyle w:val="11"/>
            </w:pPr>
            <w:r>
              <w:t>123.00</w:t>
            </w:r>
          </w:p>
        </w:tc>
        <w:tc>
          <w:tcPr>
            <w:tcW w:w="964" w:type="dxa"/>
            <w:vAlign w:val="center"/>
          </w:tcPr>
          <w:p>
            <w:pPr>
              <w:pStyle w:val="11"/>
            </w:pPr>
            <w:r>
              <w:t>123.00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检察专网设备换装</w:t>
            </w:r>
          </w:p>
        </w:tc>
        <w:tc>
          <w:tcPr>
            <w:tcW w:w="964" w:type="dxa"/>
            <w:vAlign w:val="center"/>
          </w:tcPr>
          <w:p>
            <w:pPr>
              <w:pStyle w:val="11"/>
            </w:pPr>
            <w:r>
              <w:t>63.10</w:t>
            </w:r>
          </w:p>
        </w:tc>
        <w:tc>
          <w:tcPr>
            <w:tcW w:w="1134" w:type="dxa"/>
            <w:vAlign w:val="center"/>
          </w:tcPr>
          <w:p>
            <w:pPr>
              <w:pStyle w:val="10"/>
            </w:pPr>
            <w:r>
              <w:t>密码产品</w:t>
            </w:r>
          </w:p>
        </w:tc>
        <w:tc>
          <w:tcPr>
            <w:tcW w:w="1134" w:type="dxa"/>
            <w:vAlign w:val="center"/>
          </w:tcPr>
          <w:p>
            <w:pPr>
              <w:pStyle w:val="10"/>
            </w:pPr>
            <w:r>
              <w:t>A02010312</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25.00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检察专网设备换装</w:t>
            </w:r>
          </w:p>
        </w:tc>
        <w:tc>
          <w:tcPr>
            <w:tcW w:w="964" w:type="dxa"/>
            <w:vAlign w:val="center"/>
          </w:tcPr>
          <w:p>
            <w:pPr>
              <w:pStyle w:val="11"/>
            </w:pPr>
            <w:r>
              <w:t>63.10</w:t>
            </w:r>
          </w:p>
        </w:tc>
        <w:tc>
          <w:tcPr>
            <w:tcW w:w="1134" w:type="dxa"/>
            <w:vAlign w:val="center"/>
          </w:tcPr>
          <w:p>
            <w:pPr>
              <w:pStyle w:val="10"/>
            </w:pPr>
            <w:r>
              <w:t>其他终端设备</w:t>
            </w:r>
          </w:p>
        </w:tc>
        <w:tc>
          <w:tcPr>
            <w:tcW w:w="1134" w:type="dxa"/>
            <w:vAlign w:val="center"/>
          </w:tcPr>
          <w:p>
            <w:pPr>
              <w:pStyle w:val="10"/>
            </w:pPr>
            <w:r>
              <w:t>A02010499</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0.79</w:t>
            </w:r>
          </w:p>
        </w:tc>
        <w:tc>
          <w:tcPr>
            <w:tcW w:w="964" w:type="dxa"/>
            <w:vAlign w:val="center"/>
          </w:tcPr>
          <w:p>
            <w:pPr>
              <w:pStyle w:val="11"/>
            </w:pPr>
            <w:r>
              <w:t>0.79</w:t>
            </w:r>
          </w:p>
        </w:tc>
        <w:tc>
          <w:tcPr>
            <w:tcW w:w="964" w:type="dxa"/>
            <w:vAlign w:val="center"/>
          </w:tcPr>
          <w:p>
            <w:pPr>
              <w:pStyle w:val="11"/>
            </w:pPr>
            <w:r>
              <w:t>0.79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检察专网设备换装</w:t>
            </w:r>
          </w:p>
        </w:tc>
        <w:tc>
          <w:tcPr>
            <w:tcW w:w="964" w:type="dxa"/>
            <w:vAlign w:val="center"/>
          </w:tcPr>
          <w:p>
            <w:pPr>
              <w:pStyle w:val="11"/>
            </w:pPr>
            <w:r>
              <w:t>63.10</w:t>
            </w:r>
          </w:p>
        </w:tc>
        <w:tc>
          <w:tcPr>
            <w:tcW w:w="1134" w:type="dxa"/>
            <w:vAlign w:val="center"/>
          </w:tcPr>
          <w:p>
            <w:pPr>
              <w:pStyle w:val="10"/>
            </w:pPr>
            <w:r>
              <w:t>操作系统</w:t>
            </w:r>
          </w:p>
        </w:tc>
        <w:tc>
          <w:tcPr>
            <w:tcW w:w="1134" w:type="dxa"/>
            <w:vAlign w:val="center"/>
          </w:tcPr>
          <w:p>
            <w:pPr>
              <w:pStyle w:val="10"/>
            </w:pPr>
            <w:r>
              <w:t>A0201080101</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实验室运维及库房租赁</w:t>
            </w:r>
          </w:p>
        </w:tc>
        <w:tc>
          <w:tcPr>
            <w:tcW w:w="964" w:type="dxa"/>
            <w:vAlign w:val="center"/>
          </w:tcPr>
          <w:p>
            <w:pPr>
              <w:pStyle w:val="11"/>
            </w:pPr>
            <w:r>
              <w:t>45.00</w:t>
            </w:r>
          </w:p>
        </w:tc>
        <w:tc>
          <w:tcPr>
            <w:tcW w:w="1134" w:type="dxa"/>
            <w:vAlign w:val="center"/>
          </w:tcPr>
          <w:p>
            <w:pPr>
              <w:pStyle w:val="10"/>
            </w:pPr>
            <w:r>
              <w:t>其他运行维护服务</w:t>
            </w:r>
          </w:p>
        </w:tc>
        <w:tc>
          <w:tcPr>
            <w:tcW w:w="1134" w:type="dxa"/>
            <w:vAlign w:val="center"/>
          </w:tcPr>
          <w:p>
            <w:pPr>
              <w:pStyle w:val="10"/>
            </w:pPr>
            <w:r>
              <w:t>C020699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信息化线路租赁费</w:t>
            </w:r>
          </w:p>
        </w:tc>
        <w:tc>
          <w:tcPr>
            <w:tcW w:w="964" w:type="dxa"/>
            <w:vAlign w:val="center"/>
          </w:tcPr>
          <w:p>
            <w:pPr>
              <w:pStyle w:val="11"/>
            </w:pPr>
            <w:r>
              <w:t>230.00</w:t>
            </w:r>
          </w:p>
        </w:tc>
        <w:tc>
          <w:tcPr>
            <w:tcW w:w="1134" w:type="dxa"/>
            <w:vAlign w:val="center"/>
          </w:tcPr>
          <w:p>
            <w:pPr>
              <w:pStyle w:val="10"/>
            </w:pPr>
            <w:r>
              <w:t>其他运行维护服务</w:t>
            </w:r>
          </w:p>
        </w:tc>
        <w:tc>
          <w:tcPr>
            <w:tcW w:w="1134" w:type="dxa"/>
            <w:vAlign w:val="center"/>
          </w:tcPr>
          <w:p>
            <w:pPr>
              <w:pStyle w:val="10"/>
            </w:pPr>
            <w:r>
              <w:t>C020699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118.00</w:t>
            </w:r>
          </w:p>
        </w:tc>
        <w:tc>
          <w:tcPr>
            <w:tcW w:w="964" w:type="dxa"/>
            <w:vAlign w:val="center"/>
          </w:tcPr>
          <w:p>
            <w:pPr>
              <w:pStyle w:val="11"/>
            </w:pPr>
            <w:r>
              <w:t>118.00</w:t>
            </w:r>
          </w:p>
        </w:tc>
        <w:tc>
          <w:tcPr>
            <w:tcW w:w="964" w:type="dxa"/>
            <w:vAlign w:val="center"/>
          </w:tcPr>
          <w:p>
            <w:pPr>
              <w:pStyle w:val="11"/>
            </w:pPr>
            <w:r>
              <w:t>118.00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信息化线路租赁费</w:t>
            </w:r>
          </w:p>
        </w:tc>
        <w:tc>
          <w:tcPr>
            <w:tcW w:w="964" w:type="dxa"/>
            <w:vAlign w:val="center"/>
          </w:tcPr>
          <w:p>
            <w:pPr>
              <w:pStyle w:val="11"/>
            </w:pPr>
            <w:r>
              <w:t>230.00</w:t>
            </w:r>
          </w:p>
        </w:tc>
        <w:tc>
          <w:tcPr>
            <w:tcW w:w="1134" w:type="dxa"/>
            <w:vAlign w:val="center"/>
          </w:tcPr>
          <w:p>
            <w:pPr>
              <w:pStyle w:val="10"/>
            </w:pPr>
            <w:r>
              <w:t>其他运行维护服务</w:t>
            </w:r>
          </w:p>
        </w:tc>
        <w:tc>
          <w:tcPr>
            <w:tcW w:w="1134" w:type="dxa"/>
            <w:vAlign w:val="center"/>
          </w:tcPr>
          <w:p>
            <w:pPr>
              <w:pStyle w:val="10"/>
            </w:pPr>
            <w:r>
              <w:t>C020699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112.00</w:t>
            </w:r>
          </w:p>
        </w:tc>
        <w:tc>
          <w:tcPr>
            <w:tcW w:w="964" w:type="dxa"/>
            <w:vAlign w:val="center"/>
          </w:tcPr>
          <w:p>
            <w:pPr>
              <w:pStyle w:val="11"/>
            </w:pPr>
            <w:r>
              <w:t>112.00</w:t>
            </w:r>
          </w:p>
        </w:tc>
        <w:tc>
          <w:tcPr>
            <w:tcW w:w="964" w:type="dxa"/>
            <w:vAlign w:val="center"/>
          </w:tcPr>
          <w:p>
            <w:pPr>
              <w:pStyle w:val="11"/>
            </w:pPr>
            <w:r>
              <w:t>112.00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信息化运维费</w:t>
            </w:r>
          </w:p>
        </w:tc>
        <w:tc>
          <w:tcPr>
            <w:tcW w:w="964" w:type="dxa"/>
            <w:vAlign w:val="center"/>
          </w:tcPr>
          <w:p>
            <w:pPr>
              <w:pStyle w:val="11"/>
            </w:pPr>
            <w:r>
              <w:t>47.00</w:t>
            </w:r>
          </w:p>
        </w:tc>
        <w:tc>
          <w:tcPr>
            <w:tcW w:w="1134" w:type="dxa"/>
            <w:vAlign w:val="center"/>
          </w:tcPr>
          <w:p>
            <w:pPr>
              <w:pStyle w:val="10"/>
            </w:pPr>
            <w:r>
              <w:t>软件运维服务</w:t>
            </w:r>
          </w:p>
        </w:tc>
        <w:tc>
          <w:tcPr>
            <w:tcW w:w="1134" w:type="dxa"/>
            <w:vAlign w:val="center"/>
          </w:tcPr>
          <w:p>
            <w:pPr>
              <w:pStyle w:val="10"/>
            </w:pPr>
            <w:r>
              <w:t>C020603</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47.00</w:t>
            </w:r>
          </w:p>
        </w:tc>
        <w:tc>
          <w:tcPr>
            <w:tcW w:w="964" w:type="dxa"/>
            <w:vAlign w:val="center"/>
          </w:tcPr>
          <w:p>
            <w:pPr>
              <w:pStyle w:val="11"/>
            </w:pPr>
            <w:r>
              <w:t>47.00</w:t>
            </w:r>
          </w:p>
        </w:tc>
        <w:tc>
          <w:tcPr>
            <w:tcW w:w="964" w:type="dxa"/>
            <w:vAlign w:val="center"/>
          </w:tcPr>
          <w:p>
            <w:pPr>
              <w:pStyle w:val="11"/>
            </w:pPr>
            <w:r>
              <w:t>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13.83</w:t>
            </w:r>
          </w:p>
        </w:tc>
        <w:tc>
          <w:tcPr>
            <w:tcW w:w="964" w:type="dxa"/>
            <w:vAlign w:val="center"/>
          </w:tcPr>
          <w:p>
            <w:pPr>
              <w:pStyle w:val="11"/>
            </w:pPr>
            <w:r>
              <w:t>13.83</w:t>
            </w:r>
          </w:p>
        </w:tc>
        <w:tc>
          <w:tcPr>
            <w:tcW w:w="964" w:type="dxa"/>
            <w:vAlign w:val="center"/>
          </w:tcPr>
          <w:p>
            <w:pPr>
              <w:pStyle w:val="11"/>
            </w:pPr>
            <w:r>
              <w:t>13.83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1.95</w:t>
            </w:r>
          </w:p>
        </w:tc>
        <w:tc>
          <w:tcPr>
            <w:tcW w:w="964" w:type="dxa"/>
            <w:vAlign w:val="center"/>
          </w:tcPr>
          <w:p>
            <w:pPr>
              <w:pStyle w:val="11"/>
            </w:pPr>
            <w:r>
              <w:t>1.95</w:t>
            </w:r>
          </w:p>
        </w:tc>
        <w:tc>
          <w:tcPr>
            <w:tcW w:w="964" w:type="dxa"/>
            <w:vAlign w:val="center"/>
          </w:tcPr>
          <w:p>
            <w:pPr>
              <w:pStyle w:val="11"/>
            </w:pPr>
            <w:r>
              <w:t>1.95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6.40</w:t>
            </w:r>
          </w:p>
        </w:tc>
        <w:tc>
          <w:tcPr>
            <w:tcW w:w="964" w:type="dxa"/>
            <w:vAlign w:val="center"/>
          </w:tcPr>
          <w:p>
            <w:pPr>
              <w:pStyle w:val="11"/>
            </w:pPr>
            <w:r>
              <w:t>6.40</w:t>
            </w:r>
          </w:p>
        </w:tc>
        <w:tc>
          <w:tcPr>
            <w:tcW w:w="964" w:type="dxa"/>
            <w:vAlign w:val="center"/>
          </w:tcPr>
          <w:p>
            <w:pPr>
              <w:pStyle w:val="11"/>
            </w:pPr>
            <w:r>
              <w:t>6.40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服务器</w:t>
            </w:r>
          </w:p>
        </w:tc>
        <w:tc>
          <w:tcPr>
            <w:tcW w:w="1134" w:type="dxa"/>
            <w:vAlign w:val="center"/>
          </w:tcPr>
          <w:p>
            <w:pPr>
              <w:pStyle w:val="10"/>
            </w:pPr>
            <w:r>
              <w:t>A02010103</w:t>
            </w:r>
          </w:p>
        </w:tc>
        <w:tc>
          <w:tcPr>
            <w:tcW w:w="709" w:type="dxa"/>
            <w:vAlign w:val="center"/>
          </w:tcPr>
          <w:p>
            <w:pPr>
              <w:pStyle w:val="9"/>
            </w:pPr>
            <w:r>
              <w:t>台</w:t>
            </w:r>
          </w:p>
        </w:tc>
        <w:tc>
          <w:tcPr>
            <w:tcW w:w="850" w:type="dxa"/>
            <w:vAlign w:val="center"/>
          </w:tcPr>
          <w:p>
            <w:pPr>
              <w:pStyle w:val="11"/>
            </w:pPr>
            <w:r>
              <w:t>7</w:t>
            </w:r>
          </w:p>
        </w:tc>
        <w:tc>
          <w:tcPr>
            <w:tcW w:w="850" w:type="dxa"/>
            <w:vAlign w:val="center"/>
          </w:tcPr>
          <w:p>
            <w:pPr>
              <w:pStyle w:val="11"/>
            </w:pPr>
            <w:r>
              <w:t>2.30</w:t>
            </w:r>
          </w:p>
        </w:tc>
        <w:tc>
          <w:tcPr>
            <w:tcW w:w="964" w:type="dxa"/>
            <w:vAlign w:val="center"/>
          </w:tcPr>
          <w:p>
            <w:pPr>
              <w:pStyle w:val="11"/>
            </w:pPr>
            <w:r>
              <w:t>16.10</w:t>
            </w:r>
          </w:p>
        </w:tc>
        <w:tc>
          <w:tcPr>
            <w:tcW w:w="964" w:type="dxa"/>
            <w:vAlign w:val="center"/>
          </w:tcPr>
          <w:p>
            <w:pPr>
              <w:pStyle w:val="11"/>
            </w:pPr>
            <w:r>
              <w:t>16.10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其他计算机设备</w:t>
            </w:r>
          </w:p>
        </w:tc>
        <w:tc>
          <w:tcPr>
            <w:tcW w:w="1134" w:type="dxa"/>
            <w:vAlign w:val="center"/>
          </w:tcPr>
          <w:p>
            <w:pPr>
              <w:pStyle w:val="10"/>
            </w:pPr>
            <w:r>
              <w:t>A02010199</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8.00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以太网交换机</w:t>
            </w:r>
          </w:p>
        </w:tc>
        <w:tc>
          <w:tcPr>
            <w:tcW w:w="1134" w:type="dxa"/>
            <w:vAlign w:val="center"/>
          </w:tcPr>
          <w:p>
            <w:pPr>
              <w:pStyle w:val="10"/>
            </w:pPr>
            <w:r>
              <w:t>A0201020201</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集群控制器</w:t>
            </w:r>
          </w:p>
        </w:tc>
        <w:tc>
          <w:tcPr>
            <w:tcW w:w="1134" w:type="dxa"/>
            <w:vAlign w:val="center"/>
          </w:tcPr>
          <w:p>
            <w:pPr>
              <w:pStyle w:val="10"/>
            </w:pPr>
            <w:r>
              <w:t>A0201020605</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7.15</w:t>
            </w:r>
          </w:p>
        </w:tc>
        <w:tc>
          <w:tcPr>
            <w:tcW w:w="964" w:type="dxa"/>
            <w:vAlign w:val="center"/>
          </w:tcPr>
          <w:p>
            <w:pPr>
              <w:pStyle w:val="11"/>
            </w:pPr>
            <w:r>
              <w:t>7.15</w:t>
            </w:r>
          </w:p>
        </w:tc>
        <w:tc>
          <w:tcPr>
            <w:tcW w:w="964" w:type="dxa"/>
            <w:vAlign w:val="center"/>
          </w:tcPr>
          <w:p>
            <w:pPr>
              <w:pStyle w:val="11"/>
            </w:pPr>
            <w:r>
              <w:t>7.15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其他机房辅助设备</w:t>
            </w:r>
          </w:p>
        </w:tc>
        <w:tc>
          <w:tcPr>
            <w:tcW w:w="1134" w:type="dxa"/>
            <w:vAlign w:val="center"/>
          </w:tcPr>
          <w:p>
            <w:pPr>
              <w:pStyle w:val="10"/>
            </w:pPr>
            <w:r>
              <w:t>A02010799</w:t>
            </w:r>
          </w:p>
        </w:tc>
        <w:tc>
          <w:tcPr>
            <w:tcW w:w="709" w:type="dxa"/>
            <w:vAlign w:val="center"/>
          </w:tcPr>
          <w:p>
            <w:pPr>
              <w:pStyle w:val="9"/>
            </w:pPr>
            <w:r>
              <w:t>台</w:t>
            </w:r>
          </w:p>
        </w:tc>
        <w:tc>
          <w:tcPr>
            <w:tcW w:w="850" w:type="dxa"/>
            <w:vAlign w:val="center"/>
          </w:tcPr>
          <w:p>
            <w:pPr>
              <w:pStyle w:val="11"/>
            </w:pPr>
            <w:r>
              <w:t>31</w:t>
            </w:r>
          </w:p>
        </w:tc>
        <w:tc>
          <w:tcPr>
            <w:tcW w:w="850" w:type="dxa"/>
            <w:vAlign w:val="center"/>
          </w:tcPr>
          <w:p>
            <w:pPr>
              <w:pStyle w:val="11"/>
            </w:pPr>
            <w:r>
              <w:t>0.65</w:t>
            </w:r>
          </w:p>
        </w:tc>
        <w:tc>
          <w:tcPr>
            <w:tcW w:w="964" w:type="dxa"/>
            <w:vAlign w:val="center"/>
          </w:tcPr>
          <w:p>
            <w:pPr>
              <w:pStyle w:val="11"/>
            </w:pPr>
            <w:r>
              <w:t>20.15</w:t>
            </w:r>
          </w:p>
        </w:tc>
        <w:tc>
          <w:tcPr>
            <w:tcW w:w="964" w:type="dxa"/>
            <w:vAlign w:val="center"/>
          </w:tcPr>
          <w:p>
            <w:pPr>
              <w:pStyle w:val="11"/>
            </w:pPr>
            <w:r>
              <w:t>20.15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其他机房辅助设备</w:t>
            </w:r>
          </w:p>
        </w:tc>
        <w:tc>
          <w:tcPr>
            <w:tcW w:w="1134" w:type="dxa"/>
            <w:vAlign w:val="center"/>
          </w:tcPr>
          <w:p>
            <w:pPr>
              <w:pStyle w:val="10"/>
            </w:pPr>
            <w:r>
              <w:t>A02010799</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3.90</w:t>
            </w:r>
          </w:p>
        </w:tc>
        <w:tc>
          <w:tcPr>
            <w:tcW w:w="964" w:type="dxa"/>
            <w:vAlign w:val="center"/>
          </w:tcPr>
          <w:p>
            <w:pPr>
              <w:pStyle w:val="11"/>
            </w:pPr>
            <w:r>
              <w:t>7.79</w:t>
            </w:r>
          </w:p>
        </w:tc>
        <w:tc>
          <w:tcPr>
            <w:tcW w:w="964" w:type="dxa"/>
            <w:vAlign w:val="center"/>
          </w:tcPr>
          <w:p>
            <w:pPr>
              <w:pStyle w:val="11"/>
            </w:pPr>
            <w:r>
              <w:t>7.79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支撑软件</w:t>
            </w:r>
          </w:p>
        </w:tc>
        <w:tc>
          <w:tcPr>
            <w:tcW w:w="1134" w:type="dxa"/>
            <w:vAlign w:val="center"/>
          </w:tcPr>
          <w:p>
            <w:pPr>
              <w:pStyle w:val="10"/>
            </w:pPr>
            <w:r>
              <w:t>A02010802</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14.00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支撑软件</w:t>
            </w:r>
          </w:p>
        </w:tc>
        <w:tc>
          <w:tcPr>
            <w:tcW w:w="1134" w:type="dxa"/>
            <w:vAlign w:val="center"/>
          </w:tcPr>
          <w:p>
            <w:pPr>
              <w:pStyle w:val="10"/>
            </w:pPr>
            <w:r>
              <w:t>A02010802</w:t>
            </w:r>
          </w:p>
        </w:tc>
        <w:tc>
          <w:tcPr>
            <w:tcW w:w="709" w:type="dxa"/>
            <w:vAlign w:val="center"/>
          </w:tcPr>
          <w:p>
            <w:pPr>
              <w:pStyle w:val="9"/>
            </w:pPr>
            <w:r>
              <w:t>套</w:t>
            </w:r>
          </w:p>
        </w:tc>
        <w:tc>
          <w:tcPr>
            <w:tcW w:w="850" w:type="dxa"/>
            <w:vAlign w:val="center"/>
          </w:tcPr>
          <w:p>
            <w:pPr>
              <w:pStyle w:val="11"/>
            </w:pPr>
            <w:r>
              <w:t>2</w:t>
            </w:r>
          </w:p>
        </w:tc>
        <w:tc>
          <w:tcPr>
            <w:tcW w:w="850" w:type="dxa"/>
            <w:vAlign w:val="center"/>
          </w:tcPr>
          <w:p>
            <w:pPr>
              <w:pStyle w:val="11"/>
            </w:pPr>
            <w:r>
              <w:t>18.79</w:t>
            </w:r>
          </w:p>
        </w:tc>
        <w:tc>
          <w:tcPr>
            <w:tcW w:w="964" w:type="dxa"/>
            <w:vAlign w:val="center"/>
          </w:tcPr>
          <w:p>
            <w:pPr>
              <w:pStyle w:val="11"/>
            </w:pPr>
            <w:r>
              <w:t>37.58</w:t>
            </w:r>
          </w:p>
        </w:tc>
        <w:tc>
          <w:tcPr>
            <w:tcW w:w="964" w:type="dxa"/>
            <w:vAlign w:val="center"/>
          </w:tcPr>
          <w:p>
            <w:pPr>
              <w:pStyle w:val="11"/>
            </w:pPr>
            <w:r>
              <w:t>37.58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LED显示屏</w:t>
            </w:r>
          </w:p>
        </w:tc>
        <w:tc>
          <w:tcPr>
            <w:tcW w:w="1134" w:type="dxa"/>
            <w:vAlign w:val="center"/>
          </w:tcPr>
          <w:p>
            <w:pPr>
              <w:pStyle w:val="10"/>
            </w:pPr>
            <w:r>
              <w:t>A020207</w:t>
            </w:r>
          </w:p>
        </w:tc>
        <w:tc>
          <w:tcPr>
            <w:tcW w:w="709" w:type="dxa"/>
            <w:vAlign w:val="center"/>
          </w:tcPr>
          <w:p>
            <w:pPr>
              <w:pStyle w:val="9"/>
            </w:pPr>
            <w:r>
              <w:t>块</w:t>
            </w:r>
          </w:p>
        </w:tc>
        <w:tc>
          <w:tcPr>
            <w:tcW w:w="850" w:type="dxa"/>
            <w:vAlign w:val="center"/>
          </w:tcPr>
          <w:p>
            <w:pPr>
              <w:pStyle w:val="11"/>
            </w:pPr>
            <w:r>
              <w:t>21</w:t>
            </w:r>
          </w:p>
        </w:tc>
        <w:tc>
          <w:tcPr>
            <w:tcW w:w="850" w:type="dxa"/>
            <w:vAlign w:val="center"/>
          </w:tcPr>
          <w:p>
            <w:pPr>
              <w:pStyle w:val="11"/>
            </w:pPr>
            <w:r>
              <w:t>2.76</w:t>
            </w:r>
          </w:p>
        </w:tc>
        <w:tc>
          <w:tcPr>
            <w:tcW w:w="964" w:type="dxa"/>
            <w:vAlign w:val="center"/>
          </w:tcPr>
          <w:p>
            <w:pPr>
              <w:pStyle w:val="11"/>
            </w:pPr>
            <w:r>
              <w:t>57.93</w:t>
            </w:r>
          </w:p>
        </w:tc>
        <w:tc>
          <w:tcPr>
            <w:tcW w:w="964" w:type="dxa"/>
            <w:vAlign w:val="center"/>
          </w:tcPr>
          <w:p>
            <w:pPr>
              <w:pStyle w:val="11"/>
            </w:pPr>
            <w:r>
              <w:t>57.93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控制设备</w:t>
            </w:r>
          </w:p>
        </w:tc>
        <w:tc>
          <w:tcPr>
            <w:tcW w:w="1134" w:type="dxa"/>
            <w:vAlign w:val="center"/>
          </w:tcPr>
          <w:p>
            <w:pPr>
              <w:pStyle w:val="10"/>
            </w:pPr>
            <w:r>
              <w:t>A02061712</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5.07</w:t>
            </w:r>
          </w:p>
        </w:tc>
        <w:tc>
          <w:tcPr>
            <w:tcW w:w="964" w:type="dxa"/>
            <w:vAlign w:val="center"/>
          </w:tcPr>
          <w:p>
            <w:pPr>
              <w:pStyle w:val="11"/>
            </w:pPr>
            <w:r>
              <w:t>10.14</w:t>
            </w:r>
          </w:p>
        </w:tc>
        <w:tc>
          <w:tcPr>
            <w:tcW w:w="964" w:type="dxa"/>
            <w:vAlign w:val="center"/>
          </w:tcPr>
          <w:p>
            <w:pPr>
              <w:pStyle w:val="11"/>
            </w:pPr>
            <w:r>
              <w:t>10.14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调音台</w:t>
            </w:r>
          </w:p>
        </w:tc>
        <w:tc>
          <w:tcPr>
            <w:tcW w:w="1134" w:type="dxa"/>
            <w:vAlign w:val="center"/>
          </w:tcPr>
          <w:p>
            <w:pPr>
              <w:pStyle w:val="10"/>
            </w:pPr>
            <w:r>
              <w:t>A02090402</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0.26</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电视信号同步设备</w:t>
            </w:r>
          </w:p>
        </w:tc>
        <w:tc>
          <w:tcPr>
            <w:tcW w:w="1134" w:type="dxa"/>
            <w:vAlign w:val="center"/>
          </w:tcPr>
          <w:p>
            <w:pPr>
              <w:pStyle w:val="10"/>
            </w:pPr>
            <w:r>
              <w:t>A02090506</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10.68</w:t>
            </w:r>
          </w:p>
        </w:tc>
        <w:tc>
          <w:tcPr>
            <w:tcW w:w="964" w:type="dxa"/>
            <w:vAlign w:val="center"/>
          </w:tcPr>
          <w:p>
            <w:pPr>
              <w:pStyle w:val="11"/>
            </w:pPr>
            <w:r>
              <w:t>21.35</w:t>
            </w:r>
          </w:p>
        </w:tc>
        <w:tc>
          <w:tcPr>
            <w:tcW w:w="964" w:type="dxa"/>
            <w:vAlign w:val="center"/>
          </w:tcPr>
          <w:p>
            <w:pPr>
              <w:pStyle w:val="11"/>
            </w:pPr>
            <w:r>
              <w:t>21.35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视频处理器</w:t>
            </w:r>
          </w:p>
        </w:tc>
        <w:tc>
          <w:tcPr>
            <w:tcW w:w="1134" w:type="dxa"/>
            <w:vAlign w:val="center"/>
          </w:tcPr>
          <w:p>
            <w:pPr>
              <w:pStyle w:val="10"/>
            </w:pPr>
            <w:r>
              <w:t>A02091108</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0.47</w:t>
            </w:r>
          </w:p>
        </w:tc>
        <w:tc>
          <w:tcPr>
            <w:tcW w:w="964" w:type="dxa"/>
            <w:vAlign w:val="center"/>
          </w:tcPr>
          <w:p>
            <w:pPr>
              <w:pStyle w:val="11"/>
            </w:pPr>
            <w:r>
              <w:t>0.47</w:t>
            </w:r>
          </w:p>
        </w:tc>
        <w:tc>
          <w:tcPr>
            <w:tcW w:w="964" w:type="dxa"/>
            <w:vAlign w:val="center"/>
          </w:tcPr>
          <w:p>
            <w:pPr>
              <w:pStyle w:val="11"/>
            </w:pPr>
            <w:r>
              <w:t>0.47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音频功率放大器设备（功放设备）</w:t>
            </w:r>
          </w:p>
        </w:tc>
        <w:tc>
          <w:tcPr>
            <w:tcW w:w="1134" w:type="dxa"/>
            <w:vAlign w:val="center"/>
          </w:tcPr>
          <w:p>
            <w:pPr>
              <w:pStyle w:val="10"/>
            </w:pPr>
            <w:r>
              <w:t>A02091203</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0.19</w:t>
            </w:r>
          </w:p>
        </w:tc>
        <w:tc>
          <w:tcPr>
            <w:tcW w:w="964" w:type="dxa"/>
            <w:vAlign w:val="center"/>
          </w:tcPr>
          <w:p>
            <w:pPr>
              <w:pStyle w:val="11"/>
            </w:pPr>
            <w:r>
              <w:t>0.39</w:t>
            </w:r>
          </w:p>
        </w:tc>
        <w:tc>
          <w:tcPr>
            <w:tcW w:w="964" w:type="dxa"/>
            <w:vAlign w:val="center"/>
          </w:tcPr>
          <w:p>
            <w:pPr>
              <w:pStyle w:val="11"/>
            </w:pPr>
            <w:r>
              <w:t>0.39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话筒设备</w:t>
            </w:r>
          </w:p>
        </w:tc>
        <w:tc>
          <w:tcPr>
            <w:tcW w:w="1134" w:type="dxa"/>
            <w:vAlign w:val="center"/>
          </w:tcPr>
          <w:p>
            <w:pPr>
              <w:pStyle w:val="10"/>
            </w:pPr>
            <w:r>
              <w:t>A02091206</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0.49</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话筒设备</w:t>
            </w:r>
          </w:p>
        </w:tc>
        <w:tc>
          <w:tcPr>
            <w:tcW w:w="1134" w:type="dxa"/>
            <w:vAlign w:val="center"/>
          </w:tcPr>
          <w:p>
            <w:pPr>
              <w:pStyle w:val="10"/>
            </w:pPr>
            <w:r>
              <w:t>A02091206</w:t>
            </w:r>
          </w:p>
        </w:tc>
        <w:tc>
          <w:tcPr>
            <w:tcW w:w="709" w:type="dxa"/>
            <w:vAlign w:val="center"/>
          </w:tcPr>
          <w:p>
            <w:pPr>
              <w:pStyle w:val="9"/>
            </w:pPr>
            <w:r>
              <w:t>个</w:t>
            </w:r>
          </w:p>
        </w:tc>
        <w:tc>
          <w:tcPr>
            <w:tcW w:w="850" w:type="dxa"/>
            <w:vAlign w:val="center"/>
          </w:tcPr>
          <w:p>
            <w:pPr>
              <w:pStyle w:val="11"/>
            </w:pPr>
            <w:r>
              <w:t>10</w:t>
            </w:r>
          </w:p>
        </w:tc>
        <w:tc>
          <w:tcPr>
            <w:tcW w:w="850" w:type="dxa"/>
            <w:vAlign w:val="center"/>
          </w:tcPr>
          <w:p>
            <w:pPr>
              <w:pStyle w:val="11"/>
            </w:pPr>
            <w:r>
              <w:t>0.17</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音箱</w:t>
            </w:r>
          </w:p>
        </w:tc>
        <w:tc>
          <w:tcPr>
            <w:tcW w:w="1134" w:type="dxa"/>
            <w:vAlign w:val="center"/>
          </w:tcPr>
          <w:p>
            <w:pPr>
              <w:pStyle w:val="10"/>
            </w:pPr>
            <w:r>
              <w:t>A02091211</w:t>
            </w:r>
          </w:p>
        </w:tc>
        <w:tc>
          <w:tcPr>
            <w:tcW w:w="709" w:type="dxa"/>
            <w:vAlign w:val="center"/>
          </w:tcPr>
          <w:p>
            <w:pPr>
              <w:pStyle w:val="9"/>
            </w:pPr>
            <w:r>
              <w:t>个</w:t>
            </w:r>
          </w:p>
        </w:tc>
        <w:tc>
          <w:tcPr>
            <w:tcW w:w="850" w:type="dxa"/>
            <w:vAlign w:val="center"/>
          </w:tcPr>
          <w:p>
            <w:pPr>
              <w:pStyle w:val="11"/>
            </w:pPr>
            <w:r>
              <w:t>4</w:t>
            </w:r>
          </w:p>
        </w:tc>
        <w:tc>
          <w:tcPr>
            <w:tcW w:w="850" w:type="dxa"/>
            <w:vAlign w:val="center"/>
          </w:tcPr>
          <w:p>
            <w:pPr>
              <w:pStyle w:val="11"/>
            </w:pPr>
            <w:r>
              <w:t>0.21</w:t>
            </w:r>
          </w:p>
        </w:tc>
        <w:tc>
          <w:tcPr>
            <w:tcW w:w="964" w:type="dxa"/>
            <w:vAlign w:val="center"/>
          </w:tcPr>
          <w:p>
            <w:pPr>
              <w:pStyle w:val="11"/>
            </w:pPr>
            <w:r>
              <w:t>0.84</w:t>
            </w:r>
          </w:p>
        </w:tc>
        <w:tc>
          <w:tcPr>
            <w:tcW w:w="964" w:type="dxa"/>
            <w:vAlign w:val="center"/>
          </w:tcPr>
          <w:p>
            <w:pPr>
              <w:pStyle w:val="11"/>
            </w:pPr>
            <w:r>
              <w:t>0.84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雄安新区检察机关办案区建设</w:t>
            </w:r>
          </w:p>
        </w:tc>
        <w:tc>
          <w:tcPr>
            <w:tcW w:w="964" w:type="dxa"/>
            <w:vAlign w:val="center"/>
          </w:tcPr>
          <w:p>
            <w:pPr>
              <w:pStyle w:val="11"/>
            </w:pPr>
            <w:r>
              <w:t>250.00</w:t>
            </w:r>
          </w:p>
        </w:tc>
        <w:tc>
          <w:tcPr>
            <w:tcW w:w="1134" w:type="dxa"/>
            <w:vAlign w:val="center"/>
          </w:tcPr>
          <w:p>
            <w:pPr>
              <w:pStyle w:val="10"/>
            </w:pPr>
            <w:r>
              <w:t>音视频播放设备</w:t>
            </w:r>
          </w:p>
        </w:tc>
        <w:tc>
          <w:tcPr>
            <w:tcW w:w="1134" w:type="dxa"/>
            <w:vAlign w:val="center"/>
          </w:tcPr>
          <w:p>
            <w:pPr>
              <w:pStyle w:val="10"/>
            </w:pPr>
            <w:r>
              <w:t>A02091301</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4.70</w:t>
            </w:r>
          </w:p>
        </w:tc>
        <w:tc>
          <w:tcPr>
            <w:tcW w:w="964" w:type="dxa"/>
            <w:vAlign w:val="center"/>
          </w:tcPr>
          <w:p>
            <w:pPr>
              <w:pStyle w:val="11"/>
            </w:pPr>
            <w:r>
              <w:t>4.70</w:t>
            </w:r>
          </w:p>
        </w:tc>
        <w:tc>
          <w:tcPr>
            <w:tcW w:w="964" w:type="dxa"/>
            <w:vAlign w:val="center"/>
          </w:tcPr>
          <w:p>
            <w:pPr>
              <w:pStyle w:val="11"/>
            </w:pPr>
            <w:r>
              <w:t>4.70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河北省人民检察院雄安新区分院（含所属单位）上年末固定资产金额为</w:t>
      </w:r>
      <w:r>
        <w:rPr>
          <w:rFonts w:hint="eastAsia" w:eastAsia="方正仿宋_GBK"/>
          <w:color w:val="000000"/>
          <w:sz w:val="28"/>
          <w:lang w:val="en-US" w:eastAsia="zh-CN"/>
        </w:rPr>
        <w:t>796.97</w:t>
      </w:r>
      <w:r>
        <w:rPr>
          <w:rFonts w:eastAsia="方正仿宋_GBK"/>
          <w:color w:val="000000"/>
          <w:sz w:val="28"/>
        </w:rPr>
        <w:t>万元（详见下表）。本年度拟购置固定资产总额为1057.72万元，已按要求列入政府采购预算，详见政府采购预算表。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404河北省人民检察院雄安新区分院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rPr>
                <w:rFonts w:hint="default" w:eastAsia="方正书宋_GBK"/>
                <w:lang w:val="en-US" w:eastAsia="zh-CN"/>
              </w:rPr>
            </w:pPr>
            <w:r>
              <w:rPr>
                <w:rFonts w:hint="eastAsia"/>
                <w:lang w:val="en-US" w:eastAsia="zh-CN"/>
              </w:rPr>
              <w:t>796.97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7</w:t>
            </w:r>
          </w:p>
        </w:tc>
        <w:tc>
          <w:tcPr>
            <w:tcW w:w="2835" w:type="dxa"/>
            <w:vAlign w:val="center"/>
          </w:tcPr>
          <w:p>
            <w:pPr>
              <w:pStyle w:val="11"/>
            </w:pPr>
            <w:r>
              <w:t>226.44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705</w:t>
            </w:r>
          </w:p>
        </w:tc>
        <w:tc>
          <w:tcPr>
            <w:tcW w:w="2835" w:type="dxa"/>
            <w:vAlign w:val="center"/>
          </w:tcPr>
          <w:p>
            <w:pPr>
              <w:pStyle w:val="11"/>
            </w:pPr>
            <w:r>
              <w:t>570.53</w:t>
            </w:r>
          </w:p>
        </w:tc>
      </w:tr>
    </w:tbl>
    <w:p>
      <w:pPr>
        <w:ind w:firstLine="640"/>
      </w:pPr>
      <w:r>
        <w:rPr>
          <w:rFonts w:eastAsia="方正仿宋_GBK"/>
          <w:color w:val="000000"/>
          <w:sz w:val="32"/>
        </w:rPr>
        <w:t xml:space="preserve"> </w:t>
      </w:r>
    </w:p>
    <w:p>
      <w:pPr>
        <w:keepNext w:val="0"/>
        <w:keepLines w:val="0"/>
        <w:pageBreakBefore w:val="0"/>
        <w:widowControl w:val="0"/>
        <w:kinsoku/>
        <w:wordWrap/>
        <w:overflowPunct/>
        <w:topLinePunct w:val="0"/>
        <w:autoSpaceDE/>
        <w:autoSpaceDN/>
        <w:bidi w:val="0"/>
        <w:adjustRightInd/>
        <w:snapToGrid/>
        <w:spacing w:before="10" w:after="10" w:line="560" w:lineRule="exact"/>
        <w:ind w:firstLine="640"/>
        <w:textAlignment w:val="auto"/>
        <w:outlineLvl w:val="2"/>
      </w:pPr>
      <w:bookmarkStart w:id="16" w:name="_Toc_3_3_0000000017"/>
      <w:r>
        <w:rPr>
          <w:rFonts w:ascii="黑体" w:hAnsi="黑体" w:eastAsia="黑体" w:cs="黑体"/>
          <w:color w:val="000000"/>
          <w:sz w:val="32"/>
        </w:rPr>
        <w:t>八、名词解释</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10" w:after="10" w:line="560" w:lineRule="exact"/>
        <w:ind w:firstLine="640" w:firstLineChars="200"/>
        <w:textAlignment w:val="auto"/>
        <w:outlineLvl w:val="2"/>
      </w:pPr>
      <w:bookmarkStart w:id="17" w:name="_Toc_3_3_0000000018"/>
      <w:r>
        <w:rPr>
          <w:rFonts w:ascii="黑体" w:hAnsi="黑体" w:eastAsia="黑体" w:cs="黑体"/>
          <w:color w:val="000000"/>
          <w:sz w:val="32"/>
        </w:rPr>
        <w:t>九、其他需要说明的事项</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r>
        <w:rPr>
          <w:rFonts w:hint="eastAsia" w:eastAsia="方正仿宋_GBK"/>
          <w:color w:val="000000"/>
          <w:sz w:val="28"/>
          <w:lang w:eastAsia="zh-CN"/>
        </w:rPr>
        <w:t>项</w:t>
      </w:r>
    </w:p>
    <w:p>
      <w:pPr>
        <w:rPr>
          <w:rFonts w:hint="eastAsia" w:eastAsiaTheme="minorEastAsia"/>
          <w:lang w:val="en-US" w:eastAsia="zh-CN"/>
        </w:rPr>
      </w:pP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F04E4"/>
    <w:multiLevelType w:val="singleLevel"/>
    <w:tmpl w:val="C1EF04E4"/>
    <w:lvl w:ilvl="0" w:tentative="0">
      <w:start w:val="1"/>
      <w:numFmt w:val="decimal"/>
      <w:lvlText w:val="%1."/>
      <w:lvlJc w:val="left"/>
      <w:pPr>
        <w:tabs>
          <w:tab w:val="left" w:pos="312"/>
        </w:tabs>
      </w:pPr>
    </w:lvl>
  </w:abstractNum>
  <w:abstractNum w:abstractNumId="1">
    <w:nsid w:val="12266B17"/>
    <w:multiLevelType w:val="singleLevel"/>
    <w:tmpl w:val="12266B17"/>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60660"/>
    <w:rsid w:val="000E161F"/>
    <w:rsid w:val="11FE3F1B"/>
    <w:rsid w:val="13DE1239"/>
    <w:rsid w:val="1818264E"/>
    <w:rsid w:val="1F75339A"/>
    <w:rsid w:val="23EB6368"/>
    <w:rsid w:val="38C83758"/>
    <w:rsid w:val="3A7961FB"/>
    <w:rsid w:val="54A37D23"/>
    <w:rsid w:val="56360660"/>
    <w:rsid w:val="69183C84"/>
    <w:rsid w:val="726173A3"/>
    <w:rsid w:val="7C50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TOC 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2022-02-24T02:48:00Z</dcterms:created>
  <dc:creator>lenovo</dc:creator>
  <cp:lastModifiedBy>lenovo</cp:lastModifiedBy>
  <dcterms:modified xsi:type="dcterms:W3CDTF">2022-02-28T02:04:41Z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