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2023年部门预算信息公开目录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center"/>
        <w:outlineLvl w:val="9"/>
      </w:pPr>
      <w:r>
        <w:rPr>
          <w:rFonts w:ascii="黑体" w:hAnsi="黑体" w:eastAsia="黑体" w:cs="黑体"/>
          <w:b/>
          <w:color w:val="000000"/>
          <w:sz w:val="30"/>
        </w:rPr>
        <w:t>第一部分  部门预算</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6</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12</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29</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32</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32</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33</w:t>
      </w:r>
      <w:r>
        <w:fldChar w:fldCharType="end"/>
      </w:r>
      <w:r>
        <w:fldChar w:fldCharType="end"/>
      </w:r>
    </w:p>
    <w:p>
      <w:r>
        <w:fldChar w:fldCharType="end"/>
      </w:r>
    </w:p>
    <w:p>
      <w:pPr>
        <w:spacing w:before="0" w:after="0" w:line="240" w:lineRule="auto"/>
        <w:ind w:firstLine="0"/>
        <w:jc w:val="center"/>
        <w:outlineLvl w:val="9"/>
      </w:pPr>
      <w:r>
        <w:rPr>
          <w:rFonts w:ascii="黑体" w:hAnsi="黑体" w:eastAsia="黑体" w:cs="黑体"/>
          <w:b/>
          <w:color w:val="000000"/>
          <w:sz w:val="30"/>
        </w:rPr>
        <w:t>第二部分  部门所属单位预算</w:t>
      </w:r>
    </w:p>
    <w:p>
      <w:pPr>
        <w:pStyle w:val="3"/>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b w:val="0"/>
        </w:rPr>
        <w:t>一、河北省人民检察院雄安新区分院收支预算</w:t>
      </w:r>
      <w:r>
        <w:tab/>
      </w:r>
      <w:r>
        <w:fldChar w:fldCharType="begin"/>
      </w:r>
      <w:r>
        <w:instrText xml:space="preserve">PAGEREF _Toc_4_4_0000000019 \h</w:instrText>
      </w:r>
      <w:r>
        <w:fldChar w:fldCharType="separate"/>
      </w:r>
      <w:r>
        <w:t>35</w:t>
      </w:r>
      <w:r>
        <w:fldChar w:fldCharType="end"/>
      </w:r>
      <w:r>
        <w:fldChar w:fldCharType="end"/>
      </w:r>
    </w:p>
    <w:p>
      <w:pPr>
        <w:sectPr>
          <w:pgSz w:w="16840" w:h="11900" w:orient="landscape"/>
          <w:pgMar w:top="1587" w:right="1134" w:bottom="1361" w:left="1134" w:header="720" w:footer="720" w:gutter="0"/>
          <w:pgNumType w:start="1"/>
        </w:sectPr>
      </w:pPr>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pgNumType w:start="1"/>
        </w:sectPr>
      </w:pPr>
      <w:r>
        <w:rPr>
          <w:rFonts w:ascii="方正小标宋_GBK" w:hAnsi="方正小标宋_GBK" w:eastAsia="方正小标宋_GBK" w:cs="方正小标宋_GBK"/>
          <w:color w:val="000000"/>
          <w:sz w:val="72"/>
        </w:rPr>
        <w:t>第一部分  部门预算</w:t>
      </w:r>
    </w:p>
    <w:p>
      <w:pPr>
        <w:spacing w:before="0" w:after="0" w:line="240" w:lineRule="auto"/>
        <w:ind w:firstLine="0"/>
        <w:jc w:val="both"/>
        <w:outlineLvl w:val="1"/>
        <w:rPr>
          <w:rFonts w:ascii="方正小标宋_GBK" w:hAnsi="方正小标宋_GBK" w:eastAsia="方正小标宋_GBK" w:cs="方正小标宋_GBK"/>
          <w:color w:val="000000"/>
          <w:sz w:val="36"/>
        </w:rPr>
      </w:pPr>
      <w:bookmarkStart w:id="0" w:name="_Toc_2_2_0000000001"/>
    </w:p>
    <w:p>
      <w:pPr>
        <w:spacing w:before="0" w:after="0" w:line="240" w:lineRule="auto"/>
        <w:ind w:firstLine="0"/>
        <w:jc w:val="center"/>
        <w:outlineLvl w:val="1"/>
        <w:rPr>
          <w:rFonts w:ascii="方正小标宋_GBK" w:hAnsi="方正小标宋_GBK" w:eastAsia="方正小标宋_GBK" w:cs="方正小标宋_GBK"/>
          <w:color w:val="000000"/>
          <w:sz w:val="36"/>
        </w:rPr>
      </w:pPr>
      <w:r>
        <w:rPr>
          <w:rFonts w:ascii="方正小标宋_GBK" w:hAnsi="方正小标宋_GBK" w:eastAsia="方正小标宋_GBK" w:cs="方正小标宋_GBK"/>
          <w:color w:val="000000"/>
          <w:sz w:val="36"/>
        </w:rPr>
        <w:t>部门预算收支总表</w:t>
      </w:r>
      <w:bookmarkEnd w:id="0"/>
    </w:p>
    <w:tbl>
      <w:tblPr>
        <w:tblStyle w:val="6"/>
        <w:tblW w:w="1417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404河北省人民检察院雄安新区分院</w:t>
            </w:r>
          </w:p>
        </w:tc>
        <w:tc>
          <w:tcPr>
            <w:tcW w:w="2126" w:type="dxa"/>
            <w:tcBorders>
              <w:top w:val="single" w:color="FFFFFF" w:sz="6" w:space="0"/>
              <w:left w:val="single" w:color="FFFFFF" w:sz="6" w:space="0"/>
              <w:right w:val="single" w:color="FFFFFF" w:sz="6" w:space="0"/>
            </w:tcBorders>
            <w:vAlign w:val="center"/>
          </w:tcPr>
          <w:p>
            <w:pPr>
              <w:pStyle w:val="10"/>
              <w:rPr>
                <w:rFonts w:hint="eastAsia" w:eastAsia="方正小标宋_GBK"/>
                <w:lang w:eastAsia="zh-CN"/>
              </w:rPr>
            </w:pPr>
            <w:r>
              <w:t>预算年度：202</w:t>
            </w:r>
            <w:r>
              <w:rPr>
                <w:rFonts w:hint="eastAsia"/>
                <w:lang w:val="en-US" w:eastAsia="zh-CN"/>
              </w:rPr>
              <w:t>3</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2"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4536"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6"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6" w:type="dxa"/>
            <w:vAlign w:val="center"/>
          </w:tcPr>
          <w:p>
            <w:pPr>
              <w:pStyle w:val="14"/>
            </w:pPr>
            <w:r>
              <w:t>一、一般公共预算拨款收入</w:t>
            </w:r>
          </w:p>
        </w:tc>
        <w:tc>
          <w:tcPr>
            <w:tcW w:w="2126" w:type="dxa"/>
            <w:vAlign w:val="center"/>
          </w:tcPr>
          <w:p>
            <w:pPr>
              <w:pStyle w:val="13"/>
              <w:rPr>
                <w:rFonts w:hint="default" w:eastAsia="方正书宋_GBK"/>
                <w:lang w:val="en-US" w:eastAsia="zh-CN"/>
              </w:rPr>
            </w:pPr>
            <w:r>
              <w:rPr>
                <w:rFonts w:hint="eastAsia"/>
                <w:lang w:val="en-US" w:eastAsia="zh-CN"/>
              </w:rPr>
              <w:t>2230.00</w:t>
            </w:r>
          </w:p>
        </w:tc>
        <w:tc>
          <w:tcPr>
            <w:tcW w:w="4535" w:type="dxa"/>
            <w:vAlign w:val="center"/>
          </w:tcPr>
          <w:p>
            <w:pPr>
              <w:pStyle w:val="14"/>
            </w:pPr>
            <w:r>
              <w:t>一、一般公共服务支出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6"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6"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6"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rPr>
                <w:rFonts w:hint="default" w:eastAsia="方正书宋_GBK"/>
                <w:lang w:val="en-US" w:eastAsia="zh-CN"/>
              </w:rPr>
            </w:pPr>
            <w:r>
              <w:rPr>
                <w:rFonts w:hint="eastAsia"/>
                <w:lang w:val="en-US" w:eastAsia="zh-CN"/>
              </w:rPr>
              <w:t>2430.00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6"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6"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6"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6"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6"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rPr>
                <w:rFonts w:hint="default" w:eastAsia="方正书宋_GBK"/>
                <w:lang w:val="en-US" w:eastAsia="zh-CN"/>
              </w:rPr>
            </w:pPr>
            <w:r>
              <w:rPr>
                <w:rFonts w:hint="eastAsia"/>
                <w:lang w:val="en-US" w:eastAsia="zh-CN"/>
              </w:rPr>
              <w:t>31</w:t>
            </w:r>
          </w:p>
        </w:tc>
        <w:tc>
          <w:tcPr>
            <w:tcW w:w="4536" w:type="dxa"/>
            <w:vAlign w:val="center"/>
          </w:tcPr>
          <w:p>
            <w:pPr>
              <w:pStyle w:val="14"/>
            </w:pPr>
          </w:p>
        </w:tc>
        <w:tc>
          <w:tcPr>
            <w:tcW w:w="2126" w:type="dxa"/>
            <w:vAlign w:val="center"/>
          </w:tcPr>
          <w:p>
            <w:pPr>
              <w:pStyle w:val="13"/>
            </w:pPr>
          </w:p>
        </w:tc>
        <w:tc>
          <w:tcPr>
            <w:tcW w:w="4535" w:type="dxa"/>
            <w:vAlign w:val="center"/>
          </w:tcPr>
          <w:p>
            <w:pPr>
              <w:pStyle w:val="14"/>
              <w:rPr>
                <w:rFonts w:hint="eastAsia" w:eastAsia="方正书宋_GBK"/>
                <w:lang w:val="en-US" w:eastAsia="zh-CN"/>
              </w:rPr>
            </w:pPr>
            <w:r>
              <w:rPr>
                <w:rFonts w:hint="eastAsia"/>
                <w:lang w:val="en-US" w:eastAsia="zh-CN"/>
              </w:rPr>
              <w:t>三十一、与上级财政地方债往来性支出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rPr>
                <w:rFonts w:hint="default" w:eastAsia="方正书宋_GBK"/>
                <w:lang w:val="en-US" w:eastAsia="zh-CN"/>
              </w:rPr>
            </w:pPr>
            <w:r>
              <w:rPr>
                <w:rFonts w:hint="eastAsia"/>
                <w:lang w:val="en-US" w:eastAsia="zh-CN"/>
              </w:rPr>
              <w:t>32</w:t>
            </w:r>
          </w:p>
        </w:tc>
        <w:tc>
          <w:tcPr>
            <w:tcW w:w="4536" w:type="dxa"/>
            <w:vAlign w:val="center"/>
          </w:tcPr>
          <w:p>
            <w:pPr>
              <w:pStyle w:val="16"/>
            </w:pPr>
            <w:r>
              <w:t>本年收入合计</w:t>
            </w:r>
          </w:p>
        </w:tc>
        <w:tc>
          <w:tcPr>
            <w:tcW w:w="2126" w:type="dxa"/>
            <w:vAlign w:val="center"/>
          </w:tcPr>
          <w:p>
            <w:pPr>
              <w:pStyle w:val="17"/>
              <w:rPr>
                <w:rFonts w:hint="default" w:eastAsia="方正书宋_GBK"/>
                <w:lang w:val="en-US" w:eastAsia="zh-CN"/>
              </w:rPr>
            </w:pPr>
            <w:r>
              <w:rPr>
                <w:rFonts w:hint="eastAsia"/>
                <w:lang w:val="en-US" w:eastAsia="zh-CN"/>
              </w:rPr>
              <w:t>2230.00</w:t>
            </w:r>
          </w:p>
        </w:tc>
        <w:tc>
          <w:tcPr>
            <w:tcW w:w="4535" w:type="dxa"/>
            <w:vAlign w:val="center"/>
          </w:tcPr>
          <w:p>
            <w:pPr>
              <w:pStyle w:val="16"/>
            </w:pPr>
            <w:r>
              <w:t>本年支出合计</w:t>
            </w:r>
          </w:p>
        </w:tc>
        <w:tc>
          <w:tcPr>
            <w:tcW w:w="2126" w:type="dxa"/>
            <w:vAlign w:val="center"/>
          </w:tcPr>
          <w:p>
            <w:pPr>
              <w:pStyle w:val="17"/>
              <w:rPr>
                <w:rFonts w:hint="default" w:eastAsia="方正书宋_GBK"/>
                <w:lang w:val="en-US" w:eastAsia="zh-CN"/>
              </w:rPr>
            </w:pPr>
            <w:r>
              <w:rPr>
                <w:rFonts w:hint="eastAsia" w:eastAsia="方正书宋_GBK"/>
                <w:lang w:val="en-US" w:eastAsia="zh-CN"/>
              </w:rPr>
              <w:t>2430.00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rPr>
                <w:rFonts w:hint="default" w:eastAsia="方正书宋_GBK"/>
                <w:lang w:val="en-US" w:eastAsia="zh-CN"/>
              </w:rPr>
            </w:pPr>
            <w:r>
              <w:rPr>
                <w:rFonts w:hint="eastAsia"/>
                <w:lang w:val="en-US" w:eastAsia="zh-CN"/>
              </w:rPr>
              <w:t>33</w:t>
            </w:r>
          </w:p>
        </w:tc>
        <w:tc>
          <w:tcPr>
            <w:tcW w:w="4536" w:type="dxa"/>
            <w:vAlign w:val="center"/>
          </w:tcPr>
          <w:p>
            <w:pPr>
              <w:pStyle w:val="14"/>
            </w:pPr>
            <w:r>
              <w:t>上年结转结余</w:t>
            </w:r>
          </w:p>
        </w:tc>
        <w:tc>
          <w:tcPr>
            <w:tcW w:w="2126" w:type="dxa"/>
            <w:vAlign w:val="center"/>
          </w:tcPr>
          <w:p>
            <w:pPr>
              <w:pStyle w:val="13"/>
              <w:rPr>
                <w:rFonts w:hint="default"/>
                <w:lang w:val="en-US" w:eastAsia="zh-CN"/>
              </w:rPr>
            </w:pPr>
            <w:r>
              <w:rPr>
                <w:rFonts w:hint="eastAsia"/>
                <w:lang w:val="en-US" w:eastAsia="zh-CN"/>
              </w:rPr>
              <w:t>200.00</w:t>
            </w: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rPr>
                <w:rFonts w:hint="eastAsia" w:eastAsia="方正书宋_GBK"/>
                <w:lang w:val="en-US" w:eastAsia="zh-CN"/>
              </w:rPr>
            </w:pPr>
            <w:r>
              <w:t>3</w:t>
            </w:r>
            <w:r>
              <w:rPr>
                <w:rFonts w:hint="eastAsia"/>
                <w:lang w:val="en-US" w:eastAsia="zh-CN"/>
              </w:rPr>
              <w:t>4</w:t>
            </w:r>
          </w:p>
        </w:tc>
        <w:tc>
          <w:tcPr>
            <w:tcW w:w="4536" w:type="dxa"/>
            <w:vAlign w:val="center"/>
          </w:tcPr>
          <w:p>
            <w:pPr>
              <w:pStyle w:val="16"/>
            </w:pPr>
            <w:r>
              <w:t>收入总计</w:t>
            </w:r>
          </w:p>
        </w:tc>
        <w:tc>
          <w:tcPr>
            <w:tcW w:w="2126" w:type="dxa"/>
            <w:vAlign w:val="center"/>
          </w:tcPr>
          <w:p>
            <w:pPr>
              <w:pStyle w:val="17"/>
              <w:rPr>
                <w:rFonts w:hint="default"/>
                <w:lang w:val="en-US"/>
              </w:rPr>
            </w:pPr>
            <w:r>
              <w:rPr>
                <w:rFonts w:hint="eastAsia"/>
                <w:lang w:val="en-US" w:eastAsia="zh-CN"/>
              </w:rPr>
              <w:t>2430.00</w:t>
            </w:r>
          </w:p>
        </w:tc>
        <w:tc>
          <w:tcPr>
            <w:tcW w:w="4535" w:type="dxa"/>
            <w:vAlign w:val="center"/>
          </w:tcPr>
          <w:p>
            <w:pPr>
              <w:pStyle w:val="16"/>
            </w:pPr>
            <w:r>
              <w:t>支出总计</w:t>
            </w:r>
          </w:p>
        </w:tc>
        <w:tc>
          <w:tcPr>
            <w:tcW w:w="2126" w:type="dxa"/>
            <w:vAlign w:val="center"/>
          </w:tcPr>
          <w:p>
            <w:pPr>
              <w:pStyle w:val="17"/>
              <w:rPr>
                <w:rFonts w:hint="default" w:eastAsia="方正书宋_GBK"/>
                <w:lang w:val="en-US" w:eastAsia="zh-CN"/>
              </w:rPr>
            </w:pPr>
            <w:r>
              <w:rPr>
                <w:rFonts w:hint="eastAsia"/>
                <w:lang w:val="en-US" w:eastAsia="zh-CN"/>
              </w:rPr>
              <w:t>2430.00</w:t>
            </w:r>
          </w:p>
        </w:tc>
      </w:tr>
    </w:tbl>
    <w:p>
      <w:pPr>
        <w:spacing w:before="0" w:after="0" w:line="240" w:lineRule="auto"/>
        <w:ind w:firstLine="0"/>
        <w:jc w:val="center"/>
        <w:outlineLvl w:val="1"/>
        <w:rPr>
          <w:rFonts w:ascii="方正小标宋_GBK" w:hAnsi="方正小标宋_GBK" w:eastAsia="方正小标宋_GBK" w:cs="方正小标宋_GBK"/>
          <w:color w:val="000000"/>
          <w:sz w:val="36"/>
        </w:rPr>
      </w:pPr>
    </w:p>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p/>
    <w:tbl>
      <w:tblPr>
        <w:tblStyle w:val="6"/>
        <w:tblW w:w="14571"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404河北省人民检察院雄安新区分院</w:t>
            </w:r>
          </w:p>
        </w:tc>
        <w:tc>
          <w:tcPr>
            <w:tcW w:w="3402" w:type="dxa"/>
            <w:gridSpan w:val="3"/>
            <w:tcBorders>
              <w:top w:val="single" w:color="FFFFFF" w:sz="6" w:space="0"/>
              <w:left w:val="single" w:color="FFFFFF" w:sz="6" w:space="0"/>
              <w:right w:val="single" w:color="FFFFFF" w:sz="6" w:space="0"/>
            </w:tcBorders>
            <w:vAlign w:val="center"/>
          </w:tcPr>
          <w:p>
            <w:pPr>
              <w:pStyle w:val="10"/>
              <w:rPr>
                <w:rFonts w:hint="eastAsia" w:eastAsia="方正小标宋_GBK"/>
                <w:lang w:eastAsia="zh-CN"/>
              </w:rPr>
            </w:pPr>
            <w:r>
              <w:t>预算年度：202</w:t>
            </w:r>
            <w:r>
              <w:rPr>
                <w:rFonts w:hint="eastAsia"/>
                <w:lang w:val="en-US" w:eastAsia="zh-CN"/>
              </w:rPr>
              <w:t>3</w:t>
            </w:r>
          </w:p>
        </w:tc>
        <w:tc>
          <w:tcPr>
            <w:tcW w:w="5670"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2"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rPr>
                <w:rFonts w:hint="default" w:eastAsia="方正书宋_GBK"/>
                <w:lang w:val="en-US" w:eastAsia="zh-CN"/>
              </w:rPr>
            </w:pPr>
            <w:r>
              <w:rPr>
                <w:rFonts w:hint="eastAsia" w:eastAsia="方正书宋_GBK"/>
                <w:lang w:val="en-US" w:eastAsia="zh-CN"/>
              </w:rPr>
              <w:t>2430.00</w:t>
            </w:r>
          </w:p>
        </w:tc>
        <w:tc>
          <w:tcPr>
            <w:tcW w:w="1134" w:type="dxa"/>
            <w:vAlign w:val="center"/>
          </w:tcPr>
          <w:p>
            <w:pPr>
              <w:pStyle w:val="17"/>
              <w:rPr>
                <w:rFonts w:hint="default" w:eastAsia="方正书宋_GBK"/>
                <w:lang w:val="en-US" w:eastAsia="zh-CN"/>
              </w:rPr>
            </w:pPr>
            <w:r>
              <w:rPr>
                <w:rFonts w:hint="eastAsia"/>
                <w:lang w:val="en-US" w:eastAsia="zh-CN"/>
              </w:rPr>
              <w:t>2230.00</w:t>
            </w:r>
          </w:p>
        </w:tc>
        <w:tc>
          <w:tcPr>
            <w:tcW w:w="1134" w:type="dxa"/>
            <w:vAlign w:val="center"/>
          </w:tcPr>
          <w:p>
            <w:pPr>
              <w:pStyle w:val="17"/>
              <w:rPr>
                <w:rFonts w:hint="default" w:eastAsia="方正书宋_GBK"/>
                <w:lang w:val="en-US" w:eastAsia="zh-CN"/>
              </w:rPr>
            </w:pPr>
            <w:r>
              <w:rPr>
                <w:rFonts w:hint="eastAsia"/>
                <w:lang w:val="en-US" w:eastAsia="zh-CN"/>
              </w:rPr>
              <w:t>2230.00</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rPr>
                <w:rFonts w:hint="default" w:eastAsia="方正书宋_GBK"/>
                <w:lang w:val="en-US" w:eastAsia="zh-CN"/>
              </w:rPr>
            </w:pPr>
            <w:r>
              <w:rPr>
                <w:rFonts w:hint="eastAsia"/>
                <w:lang w:val="en-US" w:eastAsia="zh-CN"/>
              </w:rPr>
              <w:t>118.00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204</w:t>
            </w:r>
          </w:p>
        </w:tc>
        <w:tc>
          <w:tcPr>
            <w:tcW w:w="1559" w:type="dxa"/>
            <w:vAlign w:val="center"/>
          </w:tcPr>
          <w:p>
            <w:pPr>
              <w:pStyle w:val="14"/>
            </w:pPr>
            <w:r>
              <w:t>公共安全支出</w:t>
            </w:r>
          </w:p>
        </w:tc>
        <w:tc>
          <w:tcPr>
            <w:tcW w:w="1134" w:type="dxa"/>
            <w:vAlign w:val="center"/>
          </w:tcPr>
          <w:p>
            <w:pPr>
              <w:pStyle w:val="13"/>
              <w:rPr>
                <w:rFonts w:hint="default" w:eastAsia="方正书宋_GBK"/>
                <w:lang w:val="en-US" w:eastAsia="zh-CN"/>
              </w:rPr>
            </w:pPr>
            <w:r>
              <w:rPr>
                <w:rFonts w:hint="eastAsia" w:eastAsia="方正书宋_GBK"/>
                <w:lang w:val="en-US" w:eastAsia="zh-CN"/>
              </w:rPr>
              <w:t>2430.00</w:t>
            </w:r>
          </w:p>
        </w:tc>
        <w:tc>
          <w:tcPr>
            <w:tcW w:w="1134" w:type="dxa"/>
            <w:vAlign w:val="center"/>
          </w:tcPr>
          <w:p>
            <w:pPr>
              <w:pStyle w:val="13"/>
              <w:rPr>
                <w:rFonts w:hint="default" w:eastAsia="方正书宋_GBK"/>
                <w:lang w:val="en-US" w:eastAsia="zh-CN"/>
              </w:rPr>
            </w:pPr>
            <w:r>
              <w:rPr>
                <w:rFonts w:hint="eastAsia"/>
                <w:lang w:val="en-US" w:eastAsia="zh-CN"/>
              </w:rPr>
              <w:t>2230.00</w:t>
            </w:r>
          </w:p>
        </w:tc>
        <w:tc>
          <w:tcPr>
            <w:tcW w:w="1134" w:type="dxa"/>
            <w:vAlign w:val="center"/>
          </w:tcPr>
          <w:p>
            <w:pPr>
              <w:pStyle w:val="13"/>
            </w:pPr>
            <w:r>
              <w:rPr>
                <w:rFonts w:hint="eastAsia"/>
                <w:lang w:val="en-US" w:eastAsia="zh-CN"/>
              </w:rPr>
              <w:t>2230.0</w:t>
            </w:r>
            <w:r>
              <w:t>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rPr>
                <w:rFonts w:hint="default" w:eastAsia="方正书宋_GBK"/>
                <w:lang w:val="en-US" w:eastAsia="zh-CN"/>
              </w:rPr>
            </w:pPr>
            <w:r>
              <w:rPr>
                <w:rFonts w:hint="eastAsia"/>
                <w:lang w:val="en-US" w:eastAsia="zh-CN"/>
              </w:rPr>
              <w:t>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20404</w:t>
            </w:r>
          </w:p>
        </w:tc>
        <w:tc>
          <w:tcPr>
            <w:tcW w:w="1559" w:type="dxa"/>
            <w:vAlign w:val="center"/>
          </w:tcPr>
          <w:p>
            <w:pPr>
              <w:pStyle w:val="14"/>
            </w:pPr>
            <w:r>
              <w:t>检察</w:t>
            </w:r>
          </w:p>
        </w:tc>
        <w:tc>
          <w:tcPr>
            <w:tcW w:w="1134" w:type="dxa"/>
            <w:vAlign w:val="center"/>
          </w:tcPr>
          <w:p>
            <w:pPr>
              <w:pStyle w:val="13"/>
              <w:rPr>
                <w:rFonts w:hint="default" w:eastAsia="方正书宋_GBK"/>
                <w:lang w:val="en-US" w:eastAsia="zh-CN"/>
              </w:rPr>
            </w:pPr>
            <w:r>
              <w:rPr>
                <w:rFonts w:hint="eastAsia" w:eastAsia="方正书宋_GBK"/>
                <w:lang w:val="en-US" w:eastAsia="zh-CN"/>
              </w:rPr>
              <w:t>2430.00</w:t>
            </w:r>
          </w:p>
        </w:tc>
        <w:tc>
          <w:tcPr>
            <w:tcW w:w="1134" w:type="dxa"/>
            <w:vAlign w:val="center"/>
          </w:tcPr>
          <w:p>
            <w:pPr>
              <w:pStyle w:val="13"/>
            </w:pPr>
            <w:r>
              <w:rPr>
                <w:rFonts w:hint="eastAsia"/>
                <w:lang w:val="en-US" w:eastAsia="zh-CN"/>
              </w:rPr>
              <w:t>2230.0</w:t>
            </w:r>
            <w:r>
              <w:t>0</w:t>
            </w:r>
          </w:p>
        </w:tc>
        <w:tc>
          <w:tcPr>
            <w:tcW w:w="1134" w:type="dxa"/>
            <w:vAlign w:val="center"/>
          </w:tcPr>
          <w:p>
            <w:pPr>
              <w:pStyle w:val="13"/>
            </w:pPr>
            <w:r>
              <w:rPr>
                <w:rFonts w:hint="eastAsia"/>
                <w:lang w:val="en-US" w:eastAsia="zh-CN"/>
              </w:rPr>
              <w:t>2230.0</w:t>
            </w:r>
            <w:r>
              <w:t>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rPr>
                <w:rFonts w:hint="default" w:eastAsia="方正书宋_GBK"/>
                <w:lang w:val="en-US" w:eastAsia="zh-CN"/>
              </w:rPr>
            </w:pPr>
            <w:r>
              <w:rPr>
                <w:rFonts w:hint="eastAsia"/>
                <w:lang w:val="en-US" w:eastAsia="zh-CN"/>
              </w:rPr>
              <w:t>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2040402</w:t>
            </w:r>
          </w:p>
        </w:tc>
        <w:tc>
          <w:tcPr>
            <w:tcW w:w="1559" w:type="dxa"/>
            <w:vAlign w:val="center"/>
          </w:tcPr>
          <w:p>
            <w:pPr>
              <w:pStyle w:val="14"/>
            </w:pPr>
            <w:r>
              <w:t>一般行政管理事务</w:t>
            </w:r>
          </w:p>
        </w:tc>
        <w:tc>
          <w:tcPr>
            <w:tcW w:w="1134" w:type="dxa"/>
            <w:vAlign w:val="center"/>
          </w:tcPr>
          <w:p>
            <w:pPr>
              <w:pStyle w:val="13"/>
              <w:rPr>
                <w:rFonts w:hint="default" w:eastAsia="方正书宋_GBK"/>
                <w:lang w:val="en-US" w:eastAsia="zh-CN"/>
              </w:rPr>
            </w:pPr>
            <w:r>
              <w:rPr>
                <w:rFonts w:hint="eastAsia"/>
                <w:lang w:val="en-US" w:eastAsia="zh-CN"/>
              </w:rPr>
              <w:t>530.00</w:t>
            </w:r>
          </w:p>
        </w:tc>
        <w:tc>
          <w:tcPr>
            <w:tcW w:w="1134" w:type="dxa"/>
            <w:vAlign w:val="center"/>
          </w:tcPr>
          <w:p>
            <w:pPr>
              <w:pStyle w:val="13"/>
            </w:pPr>
            <w:r>
              <w:rPr>
                <w:rFonts w:hint="eastAsia"/>
                <w:lang w:val="en-US" w:eastAsia="zh-CN"/>
              </w:rPr>
              <w:t>530.</w:t>
            </w:r>
            <w:r>
              <w:t>00</w:t>
            </w:r>
          </w:p>
        </w:tc>
        <w:tc>
          <w:tcPr>
            <w:tcW w:w="1134" w:type="dxa"/>
            <w:vAlign w:val="center"/>
          </w:tcPr>
          <w:p>
            <w:pPr>
              <w:pStyle w:val="13"/>
              <w:rPr>
                <w:rFonts w:hint="default" w:eastAsia="方正书宋_GBK"/>
                <w:lang w:val="en-US" w:eastAsia="zh-CN"/>
              </w:rPr>
            </w:pPr>
            <w:r>
              <w:rPr>
                <w:rFonts w:hint="eastAsia"/>
                <w:lang w:val="en-US" w:eastAsia="zh-CN"/>
              </w:rPr>
              <w:t>530.00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2040410</w:t>
            </w:r>
          </w:p>
        </w:tc>
        <w:tc>
          <w:tcPr>
            <w:tcW w:w="1559" w:type="dxa"/>
            <w:vAlign w:val="center"/>
          </w:tcPr>
          <w:p>
            <w:pPr>
              <w:pStyle w:val="14"/>
            </w:pPr>
            <w:r>
              <w:t>检察监督</w:t>
            </w:r>
          </w:p>
        </w:tc>
        <w:tc>
          <w:tcPr>
            <w:tcW w:w="1134" w:type="dxa"/>
            <w:vAlign w:val="center"/>
          </w:tcPr>
          <w:p>
            <w:pPr>
              <w:pStyle w:val="13"/>
              <w:rPr>
                <w:rFonts w:hint="default" w:eastAsia="方正书宋_GBK"/>
                <w:lang w:val="en-US" w:eastAsia="zh-CN"/>
              </w:rPr>
            </w:pPr>
            <w:r>
              <w:rPr>
                <w:rFonts w:hint="eastAsia" w:eastAsia="方正书宋_GBK"/>
                <w:lang w:val="en-US" w:eastAsia="zh-CN"/>
              </w:rPr>
              <w:t>1140.00</w:t>
            </w:r>
          </w:p>
        </w:tc>
        <w:tc>
          <w:tcPr>
            <w:tcW w:w="1134" w:type="dxa"/>
            <w:vAlign w:val="center"/>
          </w:tcPr>
          <w:p>
            <w:pPr>
              <w:pStyle w:val="13"/>
              <w:rPr>
                <w:rFonts w:hint="default" w:eastAsia="方正书宋_GBK"/>
                <w:lang w:val="en-US" w:eastAsia="zh-CN"/>
              </w:rPr>
            </w:pPr>
            <w:r>
              <w:rPr>
                <w:rFonts w:hint="eastAsia"/>
                <w:lang w:val="en-US" w:eastAsia="zh-CN"/>
              </w:rPr>
              <w:t>940.00</w:t>
            </w:r>
          </w:p>
        </w:tc>
        <w:tc>
          <w:tcPr>
            <w:tcW w:w="1134" w:type="dxa"/>
            <w:vAlign w:val="center"/>
          </w:tcPr>
          <w:p>
            <w:pPr>
              <w:pStyle w:val="13"/>
            </w:pPr>
            <w:r>
              <w:rPr>
                <w:rFonts w:hint="eastAsia"/>
                <w:lang w:val="en-US" w:eastAsia="zh-CN"/>
              </w:rPr>
              <w:t>940.0</w:t>
            </w:r>
            <w:r>
              <w:t>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rPr>
                <w:rFonts w:hint="default"/>
                <w:lang w:val="en-US" w:eastAsia="zh-CN"/>
              </w:rPr>
            </w:pPr>
            <w:r>
              <w:rPr>
                <w:rFonts w:hint="eastAsia"/>
                <w:lang w:val="en-US" w:eastAsia="zh-CN"/>
              </w:rPr>
              <w:t>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2040499</w:t>
            </w:r>
          </w:p>
        </w:tc>
        <w:tc>
          <w:tcPr>
            <w:tcW w:w="1559" w:type="dxa"/>
            <w:vAlign w:val="center"/>
          </w:tcPr>
          <w:p>
            <w:pPr>
              <w:pStyle w:val="14"/>
            </w:pPr>
            <w:r>
              <w:t>其他检察支出</w:t>
            </w:r>
          </w:p>
        </w:tc>
        <w:tc>
          <w:tcPr>
            <w:tcW w:w="1134" w:type="dxa"/>
            <w:vAlign w:val="center"/>
          </w:tcPr>
          <w:p>
            <w:pPr>
              <w:pStyle w:val="13"/>
              <w:rPr>
                <w:rFonts w:hint="default" w:eastAsia="方正书宋_GBK"/>
                <w:lang w:val="en-US" w:eastAsia="zh-CN"/>
              </w:rPr>
            </w:pPr>
            <w:r>
              <w:rPr>
                <w:rFonts w:hint="eastAsia"/>
                <w:lang w:val="en-US" w:eastAsia="zh-CN"/>
              </w:rPr>
              <w:t>760.00</w:t>
            </w:r>
          </w:p>
        </w:tc>
        <w:tc>
          <w:tcPr>
            <w:tcW w:w="1134" w:type="dxa"/>
            <w:vAlign w:val="center"/>
          </w:tcPr>
          <w:p>
            <w:pPr>
              <w:pStyle w:val="13"/>
              <w:rPr>
                <w:rFonts w:hint="default" w:eastAsia="方正书宋_GBK"/>
                <w:lang w:val="en-US" w:eastAsia="zh-CN"/>
              </w:rPr>
            </w:pPr>
            <w:r>
              <w:rPr>
                <w:rFonts w:hint="eastAsia"/>
                <w:lang w:val="en-US" w:eastAsia="zh-CN"/>
              </w:rPr>
              <w:t>760.00</w:t>
            </w:r>
          </w:p>
        </w:tc>
        <w:tc>
          <w:tcPr>
            <w:tcW w:w="1134" w:type="dxa"/>
            <w:vAlign w:val="center"/>
          </w:tcPr>
          <w:p>
            <w:pPr>
              <w:pStyle w:val="13"/>
              <w:rPr>
                <w:rFonts w:hint="default" w:eastAsia="方正书宋_GBK"/>
                <w:lang w:val="en-US" w:eastAsia="zh-CN"/>
              </w:rPr>
            </w:pPr>
            <w:r>
              <w:rPr>
                <w:rFonts w:hint="eastAsia"/>
                <w:lang w:val="en-US" w:eastAsia="zh-CN"/>
              </w:rPr>
              <w:t>760.00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1454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404河北省人民检察院雄安新区分院</w:t>
            </w:r>
          </w:p>
        </w:tc>
        <w:tc>
          <w:tcPr>
            <w:tcW w:w="2722" w:type="dxa"/>
            <w:gridSpan w:val="2"/>
            <w:tcBorders>
              <w:top w:val="single" w:color="FFFFFF" w:sz="6" w:space="0"/>
              <w:left w:val="single" w:color="FFFFFF" w:sz="6" w:space="0"/>
              <w:right w:val="single" w:color="FFFFFF" w:sz="6" w:space="0"/>
            </w:tcBorders>
            <w:vAlign w:val="center"/>
          </w:tcPr>
          <w:p>
            <w:pPr>
              <w:pStyle w:val="10"/>
              <w:rPr>
                <w:rFonts w:hint="eastAsia" w:eastAsia="方正小标宋_GBK"/>
                <w:lang w:eastAsia="zh-CN"/>
              </w:rPr>
            </w:pPr>
            <w:r>
              <w:t>预算年度：202</w:t>
            </w:r>
            <w:r>
              <w:rPr>
                <w:rFonts w:hint="eastAsia"/>
                <w:lang w:val="en-US" w:eastAsia="zh-CN"/>
              </w:rPr>
              <w:t>3</w:t>
            </w:r>
          </w:p>
        </w:tc>
        <w:tc>
          <w:tcPr>
            <w:tcW w:w="5444"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6"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6"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6" w:type="dxa"/>
            <w:vAlign w:val="center"/>
          </w:tcPr>
          <w:p>
            <w:pPr>
              <w:pStyle w:val="16"/>
            </w:pPr>
            <w:r>
              <w:t>合计</w:t>
            </w:r>
          </w:p>
        </w:tc>
        <w:tc>
          <w:tcPr>
            <w:tcW w:w="1361" w:type="dxa"/>
            <w:vAlign w:val="center"/>
          </w:tcPr>
          <w:p>
            <w:pPr>
              <w:pStyle w:val="17"/>
              <w:rPr>
                <w:rFonts w:hint="default" w:eastAsia="方正书宋_GBK"/>
                <w:lang w:val="en-US" w:eastAsia="zh-CN"/>
              </w:rPr>
            </w:pPr>
            <w:r>
              <w:rPr>
                <w:rFonts w:hint="eastAsia" w:eastAsia="方正书宋_GBK"/>
                <w:lang w:val="en-US" w:eastAsia="zh-CN"/>
              </w:rPr>
              <w:t>2430.00</w:t>
            </w:r>
          </w:p>
        </w:tc>
        <w:tc>
          <w:tcPr>
            <w:tcW w:w="1361" w:type="dxa"/>
            <w:vAlign w:val="center"/>
          </w:tcPr>
          <w:p>
            <w:pPr>
              <w:pStyle w:val="17"/>
            </w:pPr>
          </w:p>
        </w:tc>
        <w:tc>
          <w:tcPr>
            <w:tcW w:w="1361" w:type="dxa"/>
            <w:vAlign w:val="center"/>
          </w:tcPr>
          <w:p>
            <w:pPr>
              <w:pStyle w:val="17"/>
              <w:rPr>
                <w:rFonts w:hint="default" w:eastAsia="方正书宋_GBK"/>
                <w:lang w:val="en-US" w:eastAsia="zh-CN"/>
              </w:rPr>
            </w:pPr>
            <w:r>
              <w:rPr>
                <w:rFonts w:hint="eastAsia"/>
                <w:lang w:val="en-US" w:eastAsia="zh-CN"/>
              </w:rPr>
              <w:t>2430.00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204</w:t>
            </w:r>
          </w:p>
        </w:tc>
        <w:tc>
          <w:tcPr>
            <w:tcW w:w="4536" w:type="dxa"/>
            <w:vAlign w:val="center"/>
          </w:tcPr>
          <w:p>
            <w:pPr>
              <w:pStyle w:val="14"/>
            </w:pPr>
            <w:r>
              <w:t>公共安全支出</w:t>
            </w:r>
          </w:p>
        </w:tc>
        <w:tc>
          <w:tcPr>
            <w:tcW w:w="1361" w:type="dxa"/>
            <w:vAlign w:val="center"/>
          </w:tcPr>
          <w:p>
            <w:pPr>
              <w:pStyle w:val="13"/>
              <w:rPr>
                <w:rFonts w:hint="default" w:eastAsia="方正书宋_GBK"/>
                <w:lang w:val="en-US" w:eastAsia="zh-CN"/>
              </w:rPr>
            </w:pPr>
            <w:r>
              <w:rPr>
                <w:rFonts w:hint="eastAsia" w:eastAsia="方正书宋_GBK"/>
                <w:lang w:val="en-US" w:eastAsia="zh-CN"/>
              </w:rPr>
              <w:t>2430.00</w:t>
            </w:r>
          </w:p>
        </w:tc>
        <w:tc>
          <w:tcPr>
            <w:tcW w:w="1361" w:type="dxa"/>
            <w:vAlign w:val="center"/>
          </w:tcPr>
          <w:p>
            <w:pPr>
              <w:pStyle w:val="13"/>
            </w:pPr>
          </w:p>
        </w:tc>
        <w:tc>
          <w:tcPr>
            <w:tcW w:w="1361" w:type="dxa"/>
            <w:vAlign w:val="center"/>
          </w:tcPr>
          <w:p>
            <w:pPr>
              <w:pStyle w:val="13"/>
              <w:rPr>
                <w:rFonts w:hint="default" w:eastAsia="方正书宋_GBK"/>
                <w:lang w:val="en-US" w:eastAsia="zh-CN"/>
              </w:rPr>
            </w:pPr>
            <w:r>
              <w:rPr>
                <w:rFonts w:hint="eastAsia"/>
                <w:lang w:val="en-US" w:eastAsia="zh-CN"/>
              </w:rPr>
              <w:t>2430.00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20404</w:t>
            </w:r>
          </w:p>
        </w:tc>
        <w:tc>
          <w:tcPr>
            <w:tcW w:w="4536" w:type="dxa"/>
            <w:vAlign w:val="center"/>
          </w:tcPr>
          <w:p>
            <w:pPr>
              <w:pStyle w:val="14"/>
            </w:pPr>
            <w:r>
              <w:t>检察</w:t>
            </w:r>
          </w:p>
        </w:tc>
        <w:tc>
          <w:tcPr>
            <w:tcW w:w="1361" w:type="dxa"/>
            <w:vAlign w:val="center"/>
          </w:tcPr>
          <w:p>
            <w:pPr>
              <w:pStyle w:val="13"/>
              <w:rPr>
                <w:rFonts w:hint="default" w:eastAsia="方正书宋_GBK"/>
                <w:lang w:val="en-US" w:eastAsia="zh-CN"/>
              </w:rPr>
            </w:pPr>
            <w:r>
              <w:rPr>
                <w:rFonts w:hint="eastAsia" w:eastAsia="方正书宋_GBK"/>
                <w:lang w:val="en-US" w:eastAsia="zh-CN"/>
              </w:rPr>
              <w:t>2430.00</w:t>
            </w:r>
          </w:p>
        </w:tc>
        <w:tc>
          <w:tcPr>
            <w:tcW w:w="1361" w:type="dxa"/>
            <w:vAlign w:val="center"/>
          </w:tcPr>
          <w:p>
            <w:pPr>
              <w:pStyle w:val="13"/>
            </w:pPr>
          </w:p>
        </w:tc>
        <w:tc>
          <w:tcPr>
            <w:tcW w:w="1361" w:type="dxa"/>
            <w:vAlign w:val="center"/>
          </w:tcPr>
          <w:p>
            <w:pPr>
              <w:pStyle w:val="13"/>
              <w:rPr>
                <w:rFonts w:hint="default" w:eastAsia="方正书宋_GBK"/>
                <w:lang w:val="en-US" w:eastAsia="zh-CN"/>
              </w:rPr>
            </w:pPr>
            <w:r>
              <w:rPr>
                <w:rFonts w:hint="eastAsia"/>
                <w:lang w:val="en-US" w:eastAsia="zh-CN"/>
              </w:rPr>
              <w:t>2430.00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2040402</w:t>
            </w:r>
          </w:p>
        </w:tc>
        <w:tc>
          <w:tcPr>
            <w:tcW w:w="4536" w:type="dxa"/>
            <w:vAlign w:val="center"/>
          </w:tcPr>
          <w:p>
            <w:pPr>
              <w:pStyle w:val="14"/>
            </w:pPr>
            <w:r>
              <w:t>一般行政管理事务</w:t>
            </w:r>
          </w:p>
        </w:tc>
        <w:tc>
          <w:tcPr>
            <w:tcW w:w="1361" w:type="dxa"/>
            <w:vAlign w:val="center"/>
          </w:tcPr>
          <w:p>
            <w:pPr>
              <w:pStyle w:val="13"/>
              <w:rPr>
                <w:rFonts w:hint="default" w:eastAsia="方正书宋_GBK"/>
                <w:lang w:val="en-US" w:eastAsia="zh-CN"/>
              </w:rPr>
            </w:pPr>
            <w:r>
              <w:rPr>
                <w:rFonts w:hint="eastAsia"/>
                <w:lang w:val="en-US" w:eastAsia="zh-CN"/>
              </w:rPr>
              <w:t>530.00</w:t>
            </w:r>
          </w:p>
        </w:tc>
        <w:tc>
          <w:tcPr>
            <w:tcW w:w="1361" w:type="dxa"/>
            <w:vAlign w:val="center"/>
          </w:tcPr>
          <w:p>
            <w:pPr>
              <w:pStyle w:val="13"/>
            </w:pPr>
          </w:p>
        </w:tc>
        <w:tc>
          <w:tcPr>
            <w:tcW w:w="1361" w:type="dxa"/>
            <w:vAlign w:val="center"/>
          </w:tcPr>
          <w:p>
            <w:pPr>
              <w:pStyle w:val="13"/>
              <w:rPr>
                <w:rFonts w:hint="default" w:eastAsia="方正书宋_GBK"/>
                <w:lang w:val="en-US" w:eastAsia="zh-CN"/>
              </w:rPr>
            </w:pPr>
            <w:r>
              <w:rPr>
                <w:rFonts w:hint="eastAsia"/>
                <w:lang w:val="en-US" w:eastAsia="zh-CN"/>
              </w:rPr>
              <w:t>530.00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2040410</w:t>
            </w:r>
          </w:p>
        </w:tc>
        <w:tc>
          <w:tcPr>
            <w:tcW w:w="4536" w:type="dxa"/>
            <w:vAlign w:val="center"/>
          </w:tcPr>
          <w:p>
            <w:pPr>
              <w:pStyle w:val="14"/>
            </w:pPr>
            <w:r>
              <w:t>检察监督</w:t>
            </w:r>
          </w:p>
        </w:tc>
        <w:tc>
          <w:tcPr>
            <w:tcW w:w="1361" w:type="dxa"/>
            <w:vAlign w:val="center"/>
          </w:tcPr>
          <w:p>
            <w:pPr>
              <w:pStyle w:val="13"/>
              <w:rPr>
                <w:rFonts w:hint="default" w:eastAsia="方正书宋_GBK"/>
                <w:lang w:val="en-US" w:eastAsia="zh-CN"/>
              </w:rPr>
            </w:pPr>
            <w:r>
              <w:rPr>
                <w:rFonts w:hint="eastAsia"/>
                <w:lang w:val="en-US" w:eastAsia="zh-CN"/>
              </w:rPr>
              <w:t>1140.00</w:t>
            </w:r>
          </w:p>
        </w:tc>
        <w:tc>
          <w:tcPr>
            <w:tcW w:w="1361" w:type="dxa"/>
            <w:vAlign w:val="center"/>
          </w:tcPr>
          <w:p>
            <w:pPr>
              <w:pStyle w:val="13"/>
            </w:pPr>
          </w:p>
        </w:tc>
        <w:tc>
          <w:tcPr>
            <w:tcW w:w="1361" w:type="dxa"/>
            <w:vAlign w:val="center"/>
          </w:tcPr>
          <w:p>
            <w:pPr>
              <w:pStyle w:val="13"/>
              <w:rPr>
                <w:rFonts w:hint="default" w:eastAsia="方正书宋_GBK"/>
                <w:lang w:val="en-US" w:eastAsia="zh-CN"/>
              </w:rPr>
            </w:pPr>
            <w:r>
              <w:rPr>
                <w:rFonts w:hint="eastAsia"/>
                <w:lang w:val="en-US" w:eastAsia="zh-CN"/>
              </w:rPr>
              <w:t>1140.00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2040499</w:t>
            </w:r>
          </w:p>
        </w:tc>
        <w:tc>
          <w:tcPr>
            <w:tcW w:w="4536" w:type="dxa"/>
            <w:vAlign w:val="center"/>
          </w:tcPr>
          <w:p>
            <w:pPr>
              <w:pStyle w:val="14"/>
            </w:pPr>
            <w:r>
              <w:t>其他检察支出</w:t>
            </w:r>
          </w:p>
        </w:tc>
        <w:tc>
          <w:tcPr>
            <w:tcW w:w="1361" w:type="dxa"/>
            <w:vAlign w:val="center"/>
          </w:tcPr>
          <w:p>
            <w:pPr>
              <w:pStyle w:val="13"/>
            </w:pPr>
            <w:r>
              <w:rPr>
                <w:rFonts w:hint="eastAsia"/>
                <w:lang w:val="en-US" w:eastAsia="zh-CN"/>
              </w:rPr>
              <w:t>760.0</w:t>
            </w:r>
            <w:r>
              <w:t>0</w:t>
            </w:r>
          </w:p>
        </w:tc>
        <w:tc>
          <w:tcPr>
            <w:tcW w:w="1361" w:type="dxa"/>
            <w:vAlign w:val="center"/>
          </w:tcPr>
          <w:p>
            <w:pPr>
              <w:pStyle w:val="13"/>
            </w:pPr>
          </w:p>
        </w:tc>
        <w:tc>
          <w:tcPr>
            <w:tcW w:w="1361" w:type="dxa"/>
            <w:vAlign w:val="center"/>
          </w:tcPr>
          <w:p>
            <w:pPr>
              <w:pStyle w:val="13"/>
              <w:rPr>
                <w:rFonts w:hint="default" w:eastAsia="方正书宋_GBK"/>
                <w:lang w:val="en-US" w:eastAsia="zh-CN"/>
              </w:rPr>
            </w:pPr>
            <w:r>
              <w:rPr>
                <w:rFonts w:hint="eastAsia"/>
                <w:lang w:val="en-US" w:eastAsia="zh-CN"/>
              </w:rPr>
              <w:t>760.00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1502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404河北省人民检察院雄安新区分院</w:t>
            </w:r>
          </w:p>
        </w:tc>
        <w:tc>
          <w:tcPr>
            <w:tcW w:w="3402" w:type="dxa"/>
            <w:tcBorders>
              <w:top w:val="single" w:color="FFFFFF" w:sz="6" w:space="0"/>
              <w:left w:val="single" w:color="FFFFFF" w:sz="6" w:space="0"/>
              <w:right w:val="single" w:color="FFFFFF" w:sz="6" w:space="0"/>
            </w:tcBorders>
            <w:vAlign w:val="center"/>
          </w:tcPr>
          <w:p>
            <w:pPr>
              <w:pStyle w:val="10"/>
              <w:rPr>
                <w:rFonts w:hint="eastAsia" w:eastAsia="方正小标宋_GBK"/>
                <w:lang w:eastAsia="zh-CN"/>
              </w:rPr>
            </w:pPr>
            <w:r>
              <w:t>预算年度：202</w:t>
            </w:r>
            <w:r>
              <w:rPr>
                <w:rFonts w:hint="eastAsia"/>
                <w:lang w:val="en-US" w:eastAsia="zh-CN"/>
              </w:rPr>
              <w:t>3</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rPr>
                <w:rFonts w:hint="eastAsia"/>
                <w:lang w:val="en-US" w:eastAsia="zh-CN"/>
              </w:rPr>
              <w:t>2230.0</w:t>
            </w:r>
            <w:r>
              <w:t>0</w:t>
            </w:r>
          </w:p>
        </w:tc>
        <w:tc>
          <w:tcPr>
            <w:tcW w:w="3402" w:type="dxa"/>
            <w:vAlign w:val="center"/>
          </w:tcPr>
          <w:p>
            <w:pPr>
              <w:pStyle w:val="14"/>
            </w:pPr>
            <w:r>
              <w:t>一、一般公共服务支出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rPr>
                <w:rFonts w:hint="default" w:eastAsia="方正书宋_GBK"/>
                <w:lang w:val="en-US" w:eastAsia="zh-CN"/>
              </w:rPr>
            </w:pPr>
            <w:r>
              <w:rPr>
                <w:rFonts w:hint="eastAsia" w:eastAsia="方正书宋_GBK"/>
                <w:lang w:val="en-US" w:eastAsia="zh-CN"/>
              </w:rPr>
              <w:t>2430.00</w:t>
            </w:r>
          </w:p>
        </w:tc>
        <w:tc>
          <w:tcPr>
            <w:tcW w:w="1474" w:type="dxa"/>
            <w:vAlign w:val="center"/>
          </w:tcPr>
          <w:p>
            <w:pPr>
              <w:pStyle w:val="13"/>
              <w:rPr>
                <w:rFonts w:hint="default" w:eastAsia="方正书宋_GBK"/>
                <w:lang w:val="en-US" w:eastAsia="zh-CN"/>
              </w:rPr>
            </w:pPr>
            <w:r>
              <w:rPr>
                <w:rFonts w:hint="eastAsia"/>
                <w:lang w:val="en-US" w:eastAsia="zh-CN"/>
              </w:rPr>
              <w:t>2430.00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ind w:firstLine="0" w:firstLineChars="0"/>
            </w:pPr>
            <w:r>
              <w:rPr>
                <w:rFonts w:hint="eastAsia"/>
                <w:lang w:val="en-US" w:eastAsia="zh-CN"/>
              </w:rPr>
              <w:t>31</w:t>
            </w:r>
          </w:p>
        </w:tc>
        <w:tc>
          <w:tcPr>
            <w:tcW w:w="3402" w:type="dxa"/>
            <w:vAlign w:val="center"/>
          </w:tcPr>
          <w:p>
            <w:pPr>
              <w:pStyle w:val="14"/>
              <w:ind w:firstLine="0" w:firstLineChars="0"/>
            </w:pPr>
          </w:p>
        </w:tc>
        <w:tc>
          <w:tcPr>
            <w:tcW w:w="1474" w:type="dxa"/>
            <w:vAlign w:val="center"/>
          </w:tcPr>
          <w:p>
            <w:pPr>
              <w:pStyle w:val="13"/>
              <w:ind w:firstLine="0" w:firstLineChars="0"/>
            </w:pPr>
          </w:p>
        </w:tc>
        <w:tc>
          <w:tcPr>
            <w:tcW w:w="3402" w:type="dxa"/>
            <w:vAlign w:val="center"/>
          </w:tcPr>
          <w:p>
            <w:pPr>
              <w:pStyle w:val="14"/>
              <w:ind w:firstLine="0" w:firstLineChars="0"/>
            </w:pPr>
            <w:r>
              <w:rPr>
                <w:rFonts w:hint="eastAsia"/>
                <w:lang w:val="en-US" w:eastAsia="zh-CN"/>
              </w:rPr>
              <w:t>三十一、与上级财政地方债往来性支出</w:t>
            </w:r>
          </w:p>
        </w:tc>
        <w:tc>
          <w:tcPr>
            <w:tcW w:w="1474" w:type="dxa"/>
            <w:vAlign w:val="center"/>
          </w:tcPr>
          <w:p>
            <w:pPr>
              <w:pStyle w:val="13"/>
              <w:ind w:firstLine="0" w:firstLineChars="0"/>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rPr>
                <w:rFonts w:hint="eastAsia" w:eastAsia="方正书宋_GBK"/>
                <w:lang w:eastAsia="zh-CN"/>
              </w:rPr>
            </w:pPr>
            <w:r>
              <w:t>3</w:t>
            </w:r>
            <w:r>
              <w:rPr>
                <w:rFonts w:hint="eastAsia"/>
                <w:lang w:val="en-US" w:eastAsia="zh-CN"/>
              </w:rPr>
              <w:t>2</w:t>
            </w:r>
          </w:p>
        </w:tc>
        <w:tc>
          <w:tcPr>
            <w:tcW w:w="3402" w:type="dxa"/>
            <w:vAlign w:val="center"/>
          </w:tcPr>
          <w:p>
            <w:pPr>
              <w:pStyle w:val="16"/>
            </w:pPr>
            <w:r>
              <w:t>本年收入合计</w:t>
            </w:r>
          </w:p>
        </w:tc>
        <w:tc>
          <w:tcPr>
            <w:tcW w:w="1474" w:type="dxa"/>
            <w:vAlign w:val="center"/>
          </w:tcPr>
          <w:p>
            <w:pPr>
              <w:pStyle w:val="17"/>
              <w:rPr>
                <w:rFonts w:hint="default" w:eastAsia="方正书宋_GBK"/>
                <w:lang w:val="en-US" w:eastAsia="zh-CN"/>
              </w:rPr>
            </w:pPr>
            <w:r>
              <w:rPr>
                <w:rFonts w:hint="eastAsia"/>
                <w:lang w:val="en-US" w:eastAsia="zh-CN"/>
              </w:rPr>
              <w:t>2230.00</w:t>
            </w:r>
          </w:p>
        </w:tc>
        <w:tc>
          <w:tcPr>
            <w:tcW w:w="3402" w:type="dxa"/>
            <w:vAlign w:val="center"/>
          </w:tcPr>
          <w:p>
            <w:pPr>
              <w:pStyle w:val="16"/>
            </w:pPr>
            <w:r>
              <w:t>本年支出合计</w:t>
            </w:r>
          </w:p>
        </w:tc>
        <w:tc>
          <w:tcPr>
            <w:tcW w:w="1474" w:type="dxa"/>
            <w:vAlign w:val="center"/>
          </w:tcPr>
          <w:p>
            <w:pPr>
              <w:pStyle w:val="17"/>
              <w:rPr>
                <w:rFonts w:hint="default" w:eastAsia="方正书宋_GBK"/>
                <w:lang w:val="en-US" w:eastAsia="zh-CN"/>
              </w:rPr>
            </w:pPr>
            <w:r>
              <w:rPr>
                <w:rFonts w:hint="eastAsia"/>
                <w:lang w:val="en-US" w:eastAsia="zh-CN"/>
              </w:rPr>
              <w:t>2430.00</w:t>
            </w:r>
          </w:p>
        </w:tc>
        <w:tc>
          <w:tcPr>
            <w:tcW w:w="1474" w:type="dxa"/>
            <w:vAlign w:val="center"/>
          </w:tcPr>
          <w:p>
            <w:pPr>
              <w:pStyle w:val="17"/>
              <w:rPr>
                <w:rFonts w:hint="default" w:eastAsia="方正书宋_GBK"/>
                <w:lang w:val="en-US" w:eastAsia="zh-CN"/>
              </w:rPr>
            </w:pPr>
            <w:r>
              <w:rPr>
                <w:rFonts w:hint="eastAsia"/>
                <w:lang w:val="en-US" w:eastAsia="zh-CN"/>
              </w:rPr>
              <w:t>2430.00</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rPr>
                <w:rFonts w:hint="eastAsia" w:eastAsia="方正书宋_GBK"/>
                <w:lang w:eastAsia="zh-CN"/>
              </w:rPr>
            </w:pPr>
            <w:r>
              <w:t>3</w:t>
            </w:r>
            <w:r>
              <w:rPr>
                <w:rFonts w:hint="eastAsia"/>
                <w:lang w:val="en-US" w:eastAsia="zh-CN"/>
              </w:rPr>
              <w:t>3</w:t>
            </w:r>
          </w:p>
        </w:tc>
        <w:tc>
          <w:tcPr>
            <w:tcW w:w="3402" w:type="dxa"/>
            <w:vAlign w:val="center"/>
          </w:tcPr>
          <w:p>
            <w:pPr>
              <w:pStyle w:val="14"/>
            </w:pPr>
            <w:r>
              <w:t>年初财政拨款结转和结余</w:t>
            </w:r>
          </w:p>
        </w:tc>
        <w:tc>
          <w:tcPr>
            <w:tcW w:w="1474" w:type="dxa"/>
            <w:vAlign w:val="center"/>
          </w:tcPr>
          <w:p>
            <w:pPr>
              <w:pStyle w:val="13"/>
              <w:rPr>
                <w:rFonts w:hint="default" w:eastAsia="方正书宋_GBK"/>
                <w:lang w:val="en-US" w:eastAsia="zh-CN"/>
              </w:rPr>
            </w:pPr>
            <w:r>
              <w:rPr>
                <w:rFonts w:hint="eastAsia"/>
                <w:lang w:val="en-US" w:eastAsia="zh-CN"/>
              </w:rPr>
              <w:t>200.00</w:t>
            </w: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rPr>
                <w:rFonts w:hint="eastAsia" w:eastAsia="方正书宋_GBK"/>
                <w:lang w:eastAsia="zh-CN"/>
              </w:rPr>
            </w:pPr>
            <w:r>
              <w:t>3</w:t>
            </w:r>
            <w:r>
              <w:rPr>
                <w:rFonts w:hint="eastAsia"/>
                <w:lang w:val="en-US" w:eastAsia="zh-CN"/>
              </w:rPr>
              <w:t>4</w:t>
            </w:r>
          </w:p>
        </w:tc>
        <w:tc>
          <w:tcPr>
            <w:tcW w:w="3402" w:type="dxa"/>
            <w:vAlign w:val="center"/>
          </w:tcPr>
          <w:p>
            <w:pPr>
              <w:pStyle w:val="14"/>
            </w:pPr>
            <w:r>
              <w:t>一、一般公共预算拨款</w:t>
            </w:r>
          </w:p>
        </w:tc>
        <w:tc>
          <w:tcPr>
            <w:tcW w:w="1474" w:type="dxa"/>
            <w:vAlign w:val="center"/>
          </w:tcPr>
          <w:p>
            <w:pPr>
              <w:pStyle w:val="13"/>
              <w:rPr>
                <w:rFonts w:hint="default" w:eastAsia="方正书宋_GBK"/>
                <w:lang w:val="en-US" w:eastAsia="zh-CN"/>
              </w:rPr>
            </w:pPr>
            <w:r>
              <w:rPr>
                <w:rFonts w:hint="eastAsia"/>
                <w:lang w:val="en-US" w:eastAsia="zh-CN"/>
              </w:rPr>
              <w:t>200.00</w:t>
            </w: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rPr>
                <w:rFonts w:hint="eastAsia" w:eastAsia="方正书宋_GBK"/>
                <w:lang w:eastAsia="zh-CN"/>
              </w:rPr>
            </w:pPr>
            <w:r>
              <w:t>3</w:t>
            </w:r>
            <w:r>
              <w:rPr>
                <w:rFonts w:hint="eastAsia"/>
                <w:lang w:val="en-US" w:eastAsia="zh-CN"/>
              </w:rPr>
              <w:t>5</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rPr>
                <w:rFonts w:hint="eastAsia" w:eastAsia="方正书宋_GBK"/>
                <w:lang w:eastAsia="zh-CN"/>
              </w:rPr>
            </w:pPr>
            <w:r>
              <w:t>3</w:t>
            </w:r>
            <w:r>
              <w:rPr>
                <w:rFonts w:hint="eastAsia"/>
                <w:lang w:val="en-US" w:eastAsia="zh-CN"/>
              </w:rPr>
              <w:t>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rPr>
                <w:rFonts w:hint="eastAsia" w:eastAsia="方正书宋_GBK"/>
                <w:lang w:eastAsia="zh-CN"/>
              </w:rPr>
            </w:pPr>
            <w:r>
              <w:t>3</w:t>
            </w:r>
            <w:r>
              <w:rPr>
                <w:rFonts w:hint="eastAsia"/>
                <w:lang w:val="en-US" w:eastAsia="zh-CN"/>
              </w:rPr>
              <w:t>7</w:t>
            </w:r>
          </w:p>
        </w:tc>
        <w:tc>
          <w:tcPr>
            <w:tcW w:w="3402" w:type="dxa"/>
            <w:vAlign w:val="center"/>
          </w:tcPr>
          <w:p>
            <w:pPr>
              <w:pStyle w:val="16"/>
            </w:pPr>
            <w:r>
              <w:t>收入总计</w:t>
            </w:r>
          </w:p>
        </w:tc>
        <w:tc>
          <w:tcPr>
            <w:tcW w:w="1474" w:type="dxa"/>
            <w:vAlign w:val="center"/>
          </w:tcPr>
          <w:p>
            <w:pPr>
              <w:pStyle w:val="17"/>
              <w:rPr>
                <w:rFonts w:hint="default" w:eastAsia="方正书宋_GBK"/>
                <w:lang w:val="en-US" w:eastAsia="zh-CN"/>
              </w:rPr>
            </w:pPr>
            <w:r>
              <w:rPr>
                <w:rFonts w:hint="eastAsia"/>
                <w:lang w:val="en-US" w:eastAsia="zh-CN"/>
              </w:rPr>
              <w:t>2430.00</w:t>
            </w:r>
          </w:p>
        </w:tc>
        <w:tc>
          <w:tcPr>
            <w:tcW w:w="3402" w:type="dxa"/>
            <w:vAlign w:val="center"/>
          </w:tcPr>
          <w:p>
            <w:pPr>
              <w:pStyle w:val="16"/>
            </w:pPr>
            <w:r>
              <w:t>支出总计</w:t>
            </w:r>
          </w:p>
        </w:tc>
        <w:tc>
          <w:tcPr>
            <w:tcW w:w="1474" w:type="dxa"/>
            <w:vAlign w:val="center"/>
          </w:tcPr>
          <w:p>
            <w:pPr>
              <w:pStyle w:val="17"/>
              <w:rPr>
                <w:rFonts w:hint="default" w:eastAsia="方正书宋_GBK"/>
                <w:lang w:val="en-US" w:eastAsia="zh-CN"/>
              </w:rPr>
            </w:pPr>
            <w:r>
              <w:rPr>
                <w:rFonts w:hint="eastAsia"/>
                <w:lang w:val="en-US" w:eastAsia="zh-CN"/>
              </w:rPr>
              <w:t>2430.00</w:t>
            </w:r>
          </w:p>
        </w:tc>
        <w:tc>
          <w:tcPr>
            <w:tcW w:w="1474" w:type="dxa"/>
            <w:vAlign w:val="center"/>
          </w:tcPr>
          <w:p>
            <w:pPr>
              <w:pStyle w:val="17"/>
              <w:rPr>
                <w:rFonts w:hint="default" w:eastAsia="方正书宋_GBK"/>
                <w:lang w:val="en-US" w:eastAsia="zh-CN"/>
              </w:rPr>
            </w:pPr>
            <w:r>
              <w:rPr>
                <w:rFonts w:hint="eastAsia"/>
                <w:lang w:val="en-US" w:eastAsia="zh-CN"/>
              </w:rPr>
              <w:t>2430.00</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404河北省人民检察院雄安新区分院</w:t>
            </w:r>
          </w:p>
        </w:tc>
        <w:tc>
          <w:tcPr>
            <w:tcW w:w="2551" w:type="dxa"/>
            <w:tcBorders>
              <w:top w:val="single" w:color="FFFFFF" w:sz="6" w:space="0"/>
              <w:left w:val="single" w:color="FFFFFF" w:sz="6" w:space="0"/>
              <w:right w:val="single" w:color="FFFFFF" w:sz="6" w:space="0"/>
            </w:tcBorders>
            <w:vAlign w:val="center"/>
          </w:tcPr>
          <w:p>
            <w:pPr>
              <w:pStyle w:val="10"/>
              <w:rPr>
                <w:rFonts w:hint="eastAsia" w:eastAsia="方正小标宋_GBK"/>
                <w:lang w:eastAsia="zh-CN"/>
              </w:rPr>
            </w:pPr>
            <w:r>
              <w:t>预算年度：202</w:t>
            </w:r>
            <w:r>
              <w:rPr>
                <w:rFonts w:hint="eastAsia"/>
                <w:lang w:val="en-US" w:eastAsia="zh-CN"/>
              </w:rPr>
              <w:t>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rPr>
                <w:rFonts w:hint="default" w:eastAsia="方正书宋_GBK"/>
                <w:lang w:val="en-US" w:eastAsia="zh-CN"/>
              </w:rPr>
            </w:pPr>
            <w:r>
              <w:rPr>
                <w:rFonts w:hint="eastAsia"/>
                <w:lang w:val="en-US" w:eastAsia="zh-CN"/>
              </w:rPr>
              <w:t>2430.00</w:t>
            </w:r>
          </w:p>
        </w:tc>
        <w:tc>
          <w:tcPr>
            <w:tcW w:w="2551" w:type="dxa"/>
            <w:vAlign w:val="center"/>
          </w:tcPr>
          <w:p>
            <w:pPr>
              <w:pStyle w:val="17"/>
            </w:pPr>
          </w:p>
        </w:tc>
        <w:tc>
          <w:tcPr>
            <w:tcW w:w="2551" w:type="dxa"/>
            <w:vAlign w:val="center"/>
          </w:tcPr>
          <w:p>
            <w:pPr>
              <w:pStyle w:val="17"/>
              <w:rPr>
                <w:rFonts w:hint="default" w:eastAsia="方正书宋_GBK"/>
                <w:lang w:val="en-US" w:eastAsia="zh-CN"/>
              </w:rPr>
            </w:pPr>
            <w:r>
              <w:rPr>
                <w:rFonts w:hint="eastAsia"/>
                <w:lang w:val="en-US" w:eastAsia="zh-CN"/>
              </w:rPr>
              <w:t>2430.00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204</w:t>
            </w:r>
          </w:p>
        </w:tc>
        <w:tc>
          <w:tcPr>
            <w:tcW w:w="4535" w:type="dxa"/>
            <w:vAlign w:val="center"/>
          </w:tcPr>
          <w:p>
            <w:pPr>
              <w:pStyle w:val="14"/>
            </w:pPr>
            <w:r>
              <w:t>公共安全支出</w:t>
            </w:r>
          </w:p>
        </w:tc>
        <w:tc>
          <w:tcPr>
            <w:tcW w:w="2551" w:type="dxa"/>
            <w:vAlign w:val="center"/>
          </w:tcPr>
          <w:p>
            <w:pPr>
              <w:pStyle w:val="13"/>
              <w:rPr>
                <w:rFonts w:hint="default" w:eastAsia="方正书宋_GBK"/>
                <w:lang w:val="en-US" w:eastAsia="zh-CN"/>
              </w:rPr>
            </w:pPr>
            <w:r>
              <w:rPr>
                <w:rFonts w:hint="eastAsia" w:eastAsia="方正书宋_GBK"/>
                <w:lang w:val="en-US" w:eastAsia="zh-CN"/>
              </w:rPr>
              <w:t>2430.00</w:t>
            </w:r>
          </w:p>
        </w:tc>
        <w:tc>
          <w:tcPr>
            <w:tcW w:w="2551" w:type="dxa"/>
            <w:vAlign w:val="center"/>
          </w:tcPr>
          <w:p>
            <w:pPr>
              <w:pStyle w:val="13"/>
            </w:pPr>
          </w:p>
        </w:tc>
        <w:tc>
          <w:tcPr>
            <w:tcW w:w="2551" w:type="dxa"/>
            <w:vAlign w:val="center"/>
          </w:tcPr>
          <w:p>
            <w:pPr>
              <w:pStyle w:val="13"/>
              <w:rPr>
                <w:rFonts w:hint="default" w:eastAsia="方正书宋_GBK"/>
                <w:lang w:val="en-US" w:eastAsia="zh-CN"/>
              </w:rPr>
            </w:pPr>
            <w:r>
              <w:rPr>
                <w:rFonts w:hint="eastAsia"/>
                <w:lang w:val="en-US" w:eastAsia="zh-CN"/>
              </w:rPr>
              <w:t>2430.00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20404</w:t>
            </w:r>
          </w:p>
        </w:tc>
        <w:tc>
          <w:tcPr>
            <w:tcW w:w="4535" w:type="dxa"/>
            <w:vAlign w:val="center"/>
          </w:tcPr>
          <w:p>
            <w:pPr>
              <w:pStyle w:val="14"/>
            </w:pPr>
            <w:r>
              <w:t>检察</w:t>
            </w:r>
          </w:p>
        </w:tc>
        <w:tc>
          <w:tcPr>
            <w:tcW w:w="2551" w:type="dxa"/>
            <w:vAlign w:val="center"/>
          </w:tcPr>
          <w:p>
            <w:pPr>
              <w:pStyle w:val="13"/>
              <w:rPr>
                <w:rFonts w:hint="default" w:eastAsia="方正书宋_GBK"/>
                <w:lang w:val="en-US" w:eastAsia="zh-CN"/>
              </w:rPr>
            </w:pPr>
            <w:r>
              <w:rPr>
                <w:rFonts w:hint="eastAsia"/>
                <w:lang w:val="en-US" w:eastAsia="zh-CN"/>
              </w:rPr>
              <w:t>2430.00</w:t>
            </w:r>
          </w:p>
        </w:tc>
        <w:tc>
          <w:tcPr>
            <w:tcW w:w="2551" w:type="dxa"/>
            <w:vAlign w:val="center"/>
          </w:tcPr>
          <w:p>
            <w:pPr>
              <w:pStyle w:val="13"/>
            </w:pPr>
          </w:p>
        </w:tc>
        <w:tc>
          <w:tcPr>
            <w:tcW w:w="2551" w:type="dxa"/>
            <w:vAlign w:val="center"/>
          </w:tcPr>
          <w:p>
            <w:pPr>
              <w:pStyle w:val="13"/>
              <w:rPr>
                <w:rFonts w:hint="default" w:eastAsia="方正书宋_GBK"/>
                <w:lang w:val="en-US" w:eastAsia="zh-CN"/>
              </w:rPr>
            </w:pPr>
            <w:r>
              <w:rPr>
                <w:rFonts w:hint="eastAsia" w:eastAsia="方正书宋_GBK"/>
                <w:lang w:val="en-US" w:eastAsia="zh-CN"/>
              </w:rPr>
              <w:t>2430.00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2040402</w:t>
            </w:r>
          </w:p>
        </w:tc>
        <w:tc>
          <w:tcPr>
            <w:tcW w:w="4535" w:type="dxa"/>
            <w:vAlign w:val="center"/>
          </w:tcPr>
          <w:p>
            <w:pPr>
              <w:pStyle w:val="14"/>
            </w:pPr>
            <w:r>
              <w:t>一般行政管理事务</w:t>
            </w:r>
          </w:p>
        </w:tc>
        <w:tc>
          <w:tcPr>
            <w:tcW w:w="2551" w:type="dxa"/>
            <w:vAlign w:val="center"/>
          </w:tcPr>
          <w:p>
            <w:pPr>
              <w:pStyle w:val="13"/>
            </w:pPr>
            <w:r>
              <w:rPr>
                <w:rFonts w:hint="eastAsia"/>
                <w:lang w:val="en-US" w:eastAsia="zh-CN"/>
              </w:rPr>
              <w:t>530</w:t>
            </w:r>
            <w:r>
              <w:t>.00</w:t>
            </w:r>
          </w:p>
        </w:tc>
        <w:tc>
          <w:tcPr>
            <w:tcW w:w="2551" w:type="dxa"/>
            <w:vAlign w:val="center"/>
          </w:tcPr>
          <w:p>
            <w:pPr>
              <w:pStyle w:val="13"/>
            </w:pPr>
          </w:p>
        </w:tc>
        <w:tc>
          <w:tcPr>
            <w:tcW w:w="2551" w:type="dxa"/>
            <w:vAlign w:val="center"/>
          </w:tcPr>
          <w:p>
            <w:pPr>
              <w:pStyle w:val="13"/>
              <w:rPr>
                <w:rFonts w:hint="default" w:eastAsia="方正书宋_GBK"/>
                <w:lang w:val="en-US" w:eastAsia="zh-CN"/>
              </w:rPr>
            </w:pPr>
            <w:r>
              <w:rPr>
                <w:rFonts w:hint="eastAsia"/>
                <w:lang w:val="en-US" w:eastAsia="zh-CN"/>
              </w:rPr>
              <w:t>530.00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2040410</w:t>
            </w:r>
          </w:p>
        </w:tc>
        <w:tc>
          <w:tcPr>
            <w:tcW w:w="4535" w:type="dxa"/>
            <w:vAlign w:val="center"/>
          </w:tcPr>
          <w:p>
            <w:pPr>
              <w:pStyle w:val="14"/>
            </w:pPr>
            <w:r>
              <w:t>检察监督</w:t>
            </w:r>
          </w:p>
        </w:tc>
        <w:tc>
          <w:tcPr>
            <w:tcW w:w="2551" w:type="dxa"/>
            <w:vAlign w:val="center"/>
          </w:tcPr>
          <w:p>
            <w:pPr>
              <w:pStyle w:val="13"/>
              <w:rPr>
                <w:rFonts w:hint="default" w:eastAsia="方正书宋_GBK"/>
                <w:lang w:val="en-US" w:eastAsia="zh-CN"/>
              </w:rPr>
            </w:pPr>
            <w:r>
              <w:rPr>
                <w:rFonts w:hint="eastAsia" w:eastAsia="方正书宋_GBK"/>
                <w:lang w:val="en-US" w:eastAsia="zh-CN"/>
              </w:rPr>
              <w:t>1140.00</w:t>
            </w:r>
          </w:p>
        </w:tc>
        <w:tc>
          <w:tcPr>
            <w:tcW w:w="2551" w:type="dxa"/>
            <w:vAlign w:val="center"/>
          </w:tcPr>
          <w:p>
            <w:pPr>
              <w:pStyle w:val="13"/>
            </w:pPr>
          </w:p>
        </w:tc>
        <w:tc>
          <w:tcPr>
            <w:tcW w:w="2551" w:type="dxa"/>
            <w:vAlign w:val="center"/>
          </w:tcPr>
          <w:p>
            <w:pPr>
              <w:pStyle w:val="13"/>
              <w:rPr>
                <w:rFonts w:hint="default" w:eastAsia="方正书宋_GBK"/>
                <w:lang w:val="en-US" w:eastAsia="zh-CN"/>
              </w:rPr>
            </w:pPr>
            <w:r>
              <w:rPr>
                <w:rFonts w:hint="eastAsia" w:eastAsia="方正书宋_GBK"/>
                <w:lang w:val="en-US" w:eastAsia="zh-CN"/>
              </w:rPr>
              <w:t>1140.00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2040499</w:t>
            </w:r>
          </w:p>
        </w:tc>
        <w:tc>
          <w:tcPr>
            <w:tcW w:w="4535" w:type="dxa"/>
            <w:vAlign w:val="center"/>
          </w:tcPr>
          <w:p>
            <w:pPr>
              <w:pStyle w:val="14"/>
            </w:pPr>
            <w:r>
              <w:t>其他检察支出</w:t>
            </w:r>
          </w:p>
        </w:tc>
        <w:tc>
          <w:tcPr>
            <w:tcW w:w="2551" w:type="dxa"/>
            <w:vAlign w:val="center"/>
          </w:tcPr>
          <w:p>
            <w:pPr>
              <w:pStyle w:val="13"/>
              <w:rPr>
                <w:rFonts w:hint="default" w:eastAsia="方正书宋_GBK"/>
                <w:lang w:val="en-US" w:eastAsia="zh-CN"/>
              </w:rPr>
            </w:pPr>
            <w:r>
              <w:rPr>
                <w:rFonts w:hint="eastAsia"/>
                <w:lang w:val="en-US" w:eastAsia="zh-CN"/>
              </w:rPr>
              <w:t>760.00</w:t>
            </w:r>
          </w:p>
        </w:tc>
        <w:tc>
          <w:tcPr>
            <w:tcW w:w="2551" w:type="dxa"/>
            <w:vAlign w:val="center"/>
          </w:tcPr>
          <w:p>
            <w:pPr>
              <w:pStyle w:val="13"/>
            </w:pPr>
          </w:p>
        </w:tc>
        <w:tc>
          <w:tcPr>
            <w:tcW w:w="2551" w:type="dxa"/>
            <w:vAlign w:val="center"/>
          </w:tcPr>
          <w:p>
            <w:pPr>
              <w:pStyle w:val="13"/>
              <w:rPr>
                <w:rFonts w:hint="default" w:eastAsia="方正书宋_GBK"/>
                <w:lang w:val="en-US" w:eastAsia="zh-CN"/>
              </w:rPr>
            </w:pPr>
            <w:r>
              <w:rPr>
                <w:rFonts w:hint="eastAsia"/>
                <w:lang w:val="en-US" w:eastAsia="zh-CN"/>
              </w:rPr>
              <w:t>760.00</w:t>
            </w: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1423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404河北省人民检察院雄安新区分院</w:t>
            </w:r>
          </w:p>
        </w:tc>
        <w:tc>
          <w:tcPr>
            <w:tcW w:w="2551" w:type="dxa"/>
            <w:tcBorders>
              <w:top w:val="single" w:color="FFFFFF" w:sz="6" w:space="0"/>
              <w:left w:val="single" w:color="FFFFFF" w:sz="6" w:space="0"/>
              <w:right w:val="single" w:color="FFFFFF" w:sz="6" w:space="0"/>
            </w:tcBorders>
            <w:vAlign w:val="center"/>
          </w:tcPr>
          <w:p>
            <w:pPr>
              <w:pStyle w:val="10"/>
              <w:rPr>
                <w:rFonts w:hint="eastAsia" w:eastAsia="方正小标宋_GBK"/>
                <w:lang w:eastAsia="zh-CN"/>
              </w:rPr>
            </w:pPr>
            <w:r>
              <w:t>预算年度：202</w:t>
            </w:r>
            <w:r>
              <w:rPr>
                <w:rFonts w:hint="eastAsia"/>
                <w:lang w:val="en-US" w:eastAsia="zh-CN"/>
              </w:rPr>
              <w:t>3</w:t>
            </w:r>
          </w:p>
        </w:tc>
        <w:tc>
          <w:tcPr>
            <w:tcW w:w="5103"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2"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2"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2"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注：无一般公共预算财政拨款基本支出预算，空表列示。</w:t>
      </w: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6"/>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404河北省人民检察院雄安新区分院</w:t>
            </w:r>
          </w:p>
        </w:tc>
        <w:tc>
          <w:tcPr>
            <w:tcW w:w="2551" w:type="dxa"/>
            <w:tcBorders>
              <w:top w:val="single" w:color="FFFFFF" w:sz="6" w:space="0"/>
              <w:left w:val="single" w:color="FFFFFF" w:sz="6" w:space="0"/>
              <w:right w:val="single" w:color="FFFFFF" w:sz="6" w:space="0"/>
            </w:tcBorders>
            <w:vAlign w:val="center"/>
          </w:tcPr>
          <w:p>
            <w:pPr>
              <w:pStyle w:val="10"/>
              <w:rPr>
                <w:rFonts w:hint="eastAsia" w:eastAsia="方正小标宋_GBK"/>
                <w:lang w:eastAsia="zh-CN"/>
              </w:rPr>
            </w:pPr>
            <w:r>
              <w:t>预算年度：202</w:t>
            </w:r>
            <w:r>
              <w:rPr>
                <w:rFonts w:hint="eastAsia"/>
                <w:lang w:val="en-US" w:eastAsia="zh-CN"/>
              </w:rPr>
              <w:t>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404河北省人民检察院雄安新区分院</w:t>
            </w:r>
          </w:p>
        </w:tc>
        <w:tc>
          <w:tcPr>
            <w:tcW w:w="2551" w:type="dxa"/>
            <w:tcBorders>
              <w:top w:val="single" w:color="FFFFFF" w:sz="6" w:space="0"/>
              <w:left w:val="single" w:color="FFFFFF" w:sz="6" w:space="0"/>
              <w:right w:val="single" w:color="FFFFFF" w:sz="6" w:space="0"/>
            </w:tcBorders>
            <w:vAlign w:val="center"/>
          </w:tcPr>
          <w:p>
            <w:pPr>
              <w:pStyle w:val="10"/>
              <w:rPr>
                <w:rFonts w:hint="eastAsia" w:eastAsia="方正小标宋_GBK"/>
                <w:lang w:eastAsia="zh-CN"/>
              </w:rPr>
            </w:pPr>
            <w:r>
              <w:t>预算年度：202</w:t>
            </w:r>
            <w:r>
              <w:rPr>
                <w:rFonts w:hint="eastAsia"/>
                <w:lang w:val="en-US" w:eastAsia="zh-CN"/>
              </w:rPr>
              <w:t>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1417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404河北省人民检察院雄安新区分院</w:t>
            </w:r>
          </w:p>
        </w:tc>
        <w:tc>
          <w:tcPr>
            <w:tcW w:w="2381" w:type="dxa"/>
            <w:tcBorders>
              <w:top w:val="single" w:color="FFFFFF" w:sz="6" w:space="0"/>
              <w:left w:val="single" w:color="FFFFFF" w:sz="6" w:space="0"/>
              <w:right w:val="single" w:color="FFFFFF" w:sz="6" w:space="0"/>
            </w:tcBorders>
            <w:vAlign w:val="center"/>
          </w:tcPr>
          <w:p>
            <w:pPr>
              <w:pStyle w:val="10"/>
              <w:rPr>
                <w:rFonts w:hint="eastAsia" w:eastAsia="方正小标宋_GBK"/>
                <w:lang w:eastAsia="zh-CN"/>
              </w:rPr>
            </w:pPr>
            <w:r>
              <w:t>预算年度：202</w:t>
            </w:r>
            <w:r>
              <w:rPr>
                <w:rFonts w:hint="eastAsia"/>
                <w:lang w:val="en-US" w:eastAsia="zh-CN"/>
              </w:rPr>
              <w:t>3</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5"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2"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5"/>
            </w:pPr>
          </w:p>
        </w:tc>
        <w:tc>
          <w:tcPr>
            <w:tcW w:w="3798" w:type="dxa"/>
            <w:vAlign w:val="center"/>
          </w:tcPr>
          <w:p>
            <w:pPr>
              <w:pStyle w:val="14"/>
              <w:ind w:firstLine="1471" w:firstLineChars="700"/>
              <w:rPr>
                <w:rFonts w:hint="eastAsia" w:eastAsia="方正书宋_GBK"/>
                <w:lang w:val="en-US" w:eastAsia="zh-CN"/>
              </w:rPr>
            </w:pPr>
            <w:r>
              <w:rPr>
                <w:rFonts w:hint="eastAsia"/>
                <w:b/>
                <w:bCs/>
                <w:lang w:val="en-US" w:eastAsia="zh-CN"/>
              </w:rPr>
              <w:t>合  计</w:t>
            </w:r>
          </w:p>
        </w:tc>
        <w:tc>
          <w:tcPr>
            <w:tcW w:w="2382" w:type="dxa"/>
            <w:vAlign w:val="center"/>
          </w:tcPr>
          <w:p>
            <w:pPr>
              <w:pStyle w:val="13"/>
              <w:rPr>
                <w:rFonts w:hint="default" w:eastAsia="方正书宋_GBK"/>
                <w:lang w:val="en-US" w:eastAsia="zh-CN"/>
              </w:rPr>
            </w:pPr>
            <w:r>
              <w:rPr>
                <w:rFonts w:hint="eastAsia"/>
                <w:b/>
                <w:bCs/>
                <w:lang w:val="en-US" w:eastAsia="zh-CN"/>
              </w:rPr>
              <w:t>20.00</w:t>
            </w:r>
          </w:p>
        </w:tc>
        <w:tc>
          <w:tcPr>
            <w:tcW w:w="2381" w:type="dxa"/>
            <w:vAlign w:val="center"/>
          </w:tcPr>
          <w:p>
            <w:pPr>
              <w:pStyle w:val="13"/>
              <w:rPr>
                <w:rFonts w:hint="default"/>
                <w:lang w:val="en-US" w:eastAsia="zh-CN"/>
              </w:rPr>
            </w:pPr>
            <w:r>
              <w:rPr>
                <w:rFonts w:hint="eastAsia"/>
                <w:b/>
                <w:bCs/>
                <w:lang w:val="en-US" w:eastAsia="zh-CN"/>
              </w:rPr>
              <w:t>20.00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5"/>
            </w:pPr>
          </w:p>
        </w:tc>
        <w:tc>
          <w:tcPr>
            <w:tcW w:w="3798" w:type="dxa"/>
            <w:vAlign w:val="center"/>
          </w:tcPr>
          <w:p>
            <w:pPr>
              <w:pStyle w:val="14"/>
              <w:rPr>
                <w:rFonts w:hint="eastAsia"/>
                <w:b/>
                <w:bCs/>
                <w:lang w:val="en-US" w:eastAsia="zh-CN"/>
              </w:rPr>
            </w:pPr>
            <w:r>
              <w:t>一、因公出国（境）费</w:t>
            </w:r>
          </w:p>
        </w:tc>
        <w:tc>
          <w:tcPr>
            <w:tcW w:w="2382" w:type="dxa"/>
            <w:vAlign w:val="center"/>
          </w:tcPr>
          <w:p>
            <w:pPr>
              <w:pStyle w:val="13"/>
              <w:rPr>
                <w:rFonts w:hint="eastAsia"/>
                <w:lang w:val="en-US" w:eastAsia="zh-CN"/>
              </w:rPr>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5"/>
            </w:pPr>
          </w:p>
        </w:tc>
        <w:tc>
          <w:tcPr>
            <w:tcW w:w="3798" w:type="dxa"/>
            <w:vAlign w:val="center"/>
          </w:tcPr>
          <w:p>
            <w:pPr>
              <w:pStyle w:val="14"/>
            </w:pPr>
            <w:r>
              <w:t>二、公务用车购置及运维费</w:t>
            </w:r>
          </w:p>
        </w:tc>
        <w:tc>
          <w:tcPr>
            <w:tcW w:w="2382" w:type="dxa"/>
            <w:vAlign w:val="center"/>
          </w:tcPr>
          <w:p>
            <w:pPr>
              <w:pStyle w:val="13"/>
              <w:rPr>
                <w:rFonts w:hint="default"/>
                <w:lang w:val="en-US" w:eastAsia="zh-CN"/>
              </w:rPr>
            </w:pPr>
            <w:r>
              <w:rPr>
                <w:rFonts w:hint="eastAsia"/>
                <w:lang w:val="en-US" w:eastAsia="zh-CN"/>
              </w:rPr>
              <w:t>20.00</w:t>
            </w:r>
          </w:p>
        </w:tc>
        <w:tc>
          <w:tcPr>
            <w:tcW w:w="2381" w:type="dxa"/>
            <w:vAlign w:val="center"/>
          </w:tcPr>
          <w:p>
            <w:pPr>
              <w:pStyle w:val="13"/>
              <w:rPr>
                <w:rFonts w:hint="default" w:eastAsia="方正书宋_GBK"/>
                <w:lang w:val="en-US" w:eastAsia="zh-CN"/>
              </w:rPr>
            </w:pPr>
            <w:r>
              <w:rPr>
                <w:rFonts w:hint="eastAsia"/>
                <w:lang w:val="en-US" w:eastAsia="zh-CN"/>
              </w:rPr>
              <w:t>20.00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5"/>
            </w:pPr>
          </w:p>
        </w:tc>
        <w:tc>
          <w:tcPr>
            <w:tcW w:w="3798" w:type="dxa"/>
            <w:vAlign w:val="center"/>
          </w:tcPr>
          <w:p>
            <w:pPr>
              <w:pStyle w:val="14"/>
              <w:ind w:firstLine="420" w:firstLineChars="200"/>
            </w:pPr>
            <w:r>
              <w:t>其中：公务用车购置费</w:t>
            </w:r>
          </w:p>
        </w:tc>
        <w:tc>
          <w:tcPr>
            <w:tcW w:w="2382" w:type="dxa"/>
            <w:vAlign w:val="center"/>
          </w:tcPr>
          <w:p>
            <w:pPr>
              <w:pStyle w:val="13"/>
              <w:rPr>
                <w:rFonts w:hint="eastAsia"/>
                <w:lang w:val="en-US" w:eastAsia="zh-CN"/>
              </w:rPr>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5"/>
            </w:pPr>
          </w:p>
        </w:tc>
        <w:tc>
          <w:tcPr>
            <w:tcW w:w="3798" w:type="dxa"/>
            <w:vAlign w:val="center"/>
          </w:tcPr>
          <w:p>
            <w:pPr>
              <w:pStyle w:val="14"/>
              <w:ind w:firstLine="1050" w:firstLineChars="500"/>
            </w:pPr>
            <w:r>
              <w:t>公务用车运行维护费</w:t>
            </w:r>
          </w:p>
        </w:tc>
        <w:tc>
          <w:tcPr>
            <w:tcW w:w="2382" w:type="dxa"/>
            <w:vAlign w:val="center"/>
          </w:tcPr>
          <w:p>
            <w:pPr>
              <w:pStyle w:val="13"/>
              <w:rPr>
                <w:rFonts w:hint="default"/>
                <w:lang w:val="en-US" w:eastAsia="zh-CN"/>
              </w:rPr>
            </w:pPr>
            <w:r>
              <w:rPr>
                <w:rFonts w:hint="eastAsia"/>
                <w:lang w:val="en-US" w:eastAsia="zh-CN"/>
              </w:rPr>
              <w:t>20.00</w:t>
            </w:r>
          </w:p>
        </w:tc>
        <w:tc>
          <w:tcPr>
            <w:tcW w:w="2381" w:type="dxa"/>
            <w:vAlign w:val="center"/>
          </w:tcPr>
          <w:p>
            <w:pPr>
              <w:pStyle w:val="13"/>
              <w:rPr>
                <w:rFonts w:hint="default" w:eastAsia="方正书宋_GBK"/>
                <w:lang w:val="en-US" w:eastAsia="zh-CN"/>
              </w:rPr>
            </w:pPr>
            <w:r>
              <w:rPr>
                <w:rFonts w:hint="eastAsia"/>
                <w:lang w:val="en-US" w:eastAsia="zh-CN"/>
              </w:rPr>
              <w:t>20.00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5"/>
            </w:pPr>
          </w:p>
        </w:tc>
        <w:tc>
          <w:tcPr>
            <w:tcW w:w="3798" w:type="dxa"/>
            <w:vAlign w:val="center"/>
          </w:tcPr>
          <w:p>
            <w:pPr>
              <w:pStyle w:val="14"/>
            </w:pPr>
            <w:r>
              <w:t>三、公务接待费</w:t>
            </w:r>
          </w:p>
        </w:tc>
        <w:tc>
          <w:tcPr>
            <w:tcW w:w="2382" w:type="dxa"/>
            <w:vAlign w:val="center"/>
          </w:tcPr>
          <w:p>
            <w:pPr>
              <w:pStyle w:val="13"/>
              <w:rPr>
                <w:rFonts w:hint="eastAsia"/>
                <w:lang w:val="en-US" w:eastAsia="zh-CN"/>
              </w:rPr>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spacing w:before="0" w:after="0" w:line="240" w:lineRule="auto"/>
        <w:ind w:firstLine="0"/>
        <w:jc w:val="center"/>
        <w:outlineLvl w:val="0"/>
        <w:sectPr>
          <w:pgSz w:w="16840" w:h="11900" w:orient="landscape"/>
          <w:pgMar w:top="1361" w:right="1020" w:bottom="1361" w:left="1020" w:header="720" w:footer="720" w:gutter="0"/>
        </w:sectPr>
      </w:pPr>
      <w:r>
        <w:rPr>
          <w:rFonts w:ascii="方正书宋_GBK" w:hAnsi="方正书宋_GBK" w:eastAsia="方正书宋_GBK" w:cs="方正书宋_GBK"/>
          <w:color w:val="FFFFFF"/>
          <w:sz w:val="21"/>
        </w:rPr>
        <w:t>第一部分  河北省人民检察院雄安新区分院2023年部门预算信息公开情况说明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河北省人民检察院雄安新区分院2023年部门预算信息公开情况说明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按照《预算法》、《地方预决算公开操作规程》和《关于进一步推进预算公开工作的实施意见》规定，现将河北省人民检察院雄安新区分院2023年部门预算公开如下：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9"/>
        <w:keepNext w:val="0"/>
        <w:keepLines w:val="0"/>
        <w:pageBreakBefore w:val="0"/>
        <w:widowControl w:val="0"/>
        <w:kinsoku/>
        <w:wordWrap/>
        <w:overflowPunct/>
        <w:topLinePunct w:val="0"/>
        <w:autoSpaceDE/>
        <w:autoSpaceDN/>
        <w:bidi w:val="0"/>
        <w:adjustRightInd/>
        <w:snapToGrid/>
        <w:spacing w:line="560" w:lineRule="exact"/>
        <w:jc w:val="both"/>
        <w:textAlignment w:val="auto"/>
      </w:pPr>
      <w:r>
        <w:t>根据河北省机构编制委员会印发的《河北省人民检察院雄安新区分院职能配置内设机构和人员编制规定》冀机编[2018]17号文件的规定，雄安新区分院是河北省人民检察院的派出机构，受河北省人民检察院领导，行使和履行设区市级人民检察院的职权和职责，下辖雄县、安新、容城三个县级人民检察院。河北省人民检察院雄安新区分院的主要职责是：</w:t>
      </w:r>
    </w:p>
    <w:p>
      <w:pPr>
        <w:pStyle w:val="19"/>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jc w:val="both"/>
        <w:textAlignment w:val="auto"/>
      </w:pPr>
      <w:r>
        <w:rPr>
          <w:rFonts w:hint="eastAsia"/>
          <w:lang w:eastAsia="zh-CN"/>
        </w:rPr>
        <w:t>（一）</w:t>
      </w:r>
      <w:r>
        <w:t>领导雄安新区检察工作，研究制定检察工作规划，部署检察工作任务。</w:t>
      </w:r>
    </w:p>
    <w:p>
      <w:pPr>
        <w:pStyle w:val="19"/>
        <w:keepNext w:val="0"/>
        <w:keepLines w:val="0"/>
        <w:pageBreakBefore w:val="0"/>
        <w:widowControl w:val="0"/>
        <w:kinsoku/>
        <w:wordWrap/>
        <w:overflowPunct/>
        <w:topLinePunct w:val="0"/>
        <w:autoSpaceDE/>
        <w:autoSpaceDN/>
        <w:bidi w:val="0"/>
        <w:adjustRightInd/>
        <w:snapToGrid/>
        <w:spacing w:line="560" w:lineRule="exact"/>
        <w:jc w:val="both"/>
        <w:textAlignment w:val="auto"/>
      </w:pPr>
      <w:r>
        <w:rPr>
          <w:rFonts w:hint="eastAsia"/>
          <w:lang w:eastAsia="zh-CN"/>
        </w:rPr>
        <w:t>（二）</w:t>
      </w:r>
      <w:r>
        <w:t>依照法律规定对由本院直接受理的刑事案件进行侦查。</w:t>
      </w:r>
    </w:p>
    <w:p>
      <w:pPr>
        <w:pStyle w:val="19"/>
        <w:keepNext w:val="0"/>
        <w:keepLines w:val="0"/>
        <w:pageBreakBefore w:val="0"/>
        <w:widowControl w:val="0"/>
        <w:kinsoku/>
        <w:wordWrap/>
        <w:overflowPunct/>
        <w:topLinePunct w:val="0"/>
        <w:autoSpaceDE/>
        <w:autoSpaceDN/>
        <w:bidi w:val="0"/>
        <w:adjustRightInd/>
        <w:snapToGrid/>
        <w:spacing w:line="560" w:lineRule="exact"/>
        <w:jc w:val="both"/>
        <w:textAlignment w:val="auto"/>
      </w:pPr>
      <w:r>
        <w:rPr>
          <w:rFonts w:hint="eastAsia"/>
          <w:lang w:eastAsia="zh-CN"/>
        </w:rPr>
        <w:t>（三）</w:t>
      </w:r>
      <w:r>
        <w:t>负责对雄安新区内重大刑事案件依法审查逮捕、提起公诉，领导下级人民检察院审查逮捕、提起公诉等工作。</w:t>
      </w:r>
    </w:p>
    <w:p>
      <w:pPr>
        <w:pStyle w:val="19"/>
        <w:keepNext w:val="0"/>
        <w:keepLines w:val="0"/>
        <w:pageBreakBefore w:val="0"/>
        <w:widowControl w:val="0"/>
        <w:kinsoku/>
        <w:wordWrap/>
        <w:overflowPunct/>
        <w:topLinePunct w:val="0"/>
        <w:autoSpaceDE/>
        <w:autoSpaceDN/>
        <w:bidi w:val="0"/>
        <w:adjustRightInd/>
        <w:snapToGrid/>
        <w:spacing w:line="560" w:lineRule="exact"/>
        <w:jc w:val="both"/>
        <w:textAlignment w:val="auto"/>
      </w:pPr>
      <w:r>
        <w:rPr>
          <w:rFonts w:hint="eastAsia"/>
          <w:lang w:eastAsia="zh-CN"/>
        </w:rPr>
        <w:t>（四）</w:t>
      </w:r>
      <w:r>
        <w:t>负责雄安新区应由本院承办的刑事、民事、行政诉讼活动及刑事、民事、行政判决裁定等生效法律文书执行的法律监督工作，领导下级人民检察院对刑事、民事、行政诉讼活动及判决裁定等生效法律文书执行的法律监督工作。</w:t>
      </w:r>
    </w:p>
    <w:p>
      <w:pPr>
        <w:pStyle w:val="19"/>
        <w:keepNext w:val="0"/>
        <w:keepLines w:val="0"/>
        <w:pageBreakBefore w:val="0"/>
        <w:widowControl w:val="0"/>
        <w:kinsoku/>
        <w:wordWrap/>
        <w:overflowPunct/>
        <w:topLinePunct w:val="0"/>
        <w:autoSpaceDE/>
        <w:autoSpaceDN/>
        <w:bidi w:val="0"/>
        <w:adjustRightInd/>
        <w:snapToGrid/>
        <w:spacing w:line="560" w:lineRule="exact"/>
        <w:jc w:val="both"/>
        <w:textAlignment w:val="auto"/>
      </w:pPr>
      <w:r>
        <w:rPr>
          <w:rFonts w:hint="eastAsia"/>
          <w:lang w:eastAsia="zh-CN"/>
        </w:rPr>
        <w:t>（五）</w:t>
      </w:r>
      <w:r>
        <w:t>负责应由本院承办的提起公益诉讼工作，领导下级人民检察院公益诉讼工作。</w:t>
      </w:r>
    </w:p>
    <w:p>
      <w:pPr>
        <w:pStyle w:val="19"/>
        <w:keepNext w:val="0"/>
        <w:keepLines w:val="0"/>
        <w:pageBreakBefore w:val="0"/>
        <w:widowControl w:val="0"/>
        <w:kinsoku/>
        <w:wordWrap/>
        <w:overflowPunct/>
        <w:topLinePunct w:val="0"/>
        <w:autoSpaceDE/>
        <w:autoSpaceDN/>
        <w:bidi w:val="0"/>
        <w:adjustRightInd/>
        <w:snapToGrid/>
        <w:spacing w:line="560" w:lineRule="exact"/>
        <w:jc w:val="both"/>
        <w:textAlignment w:val="auto"/>
      </w:pPr>
      <w:r>
        <w:rPr>
          <w:rFonts w:hint="eastAsia"/>
          <w:lang w:eastAsia="zh-CN"/>
        </w:rPr>
        <w:t>（六）</w:t>
      </w:r>
      <w:r>
        <w:t>负责办理核准追诉案件，依法报请上级人民检察院审查核准。</w:t>
      </w:r>
    </w:p>
    <w:p>
      <w:pPr>
        <w:pStyle w:val="19"/>
        <w:keepNext w:val="0"/>
        <w:keepLines w:val="0"/>
        <w:pageBreakBefore w:val="0"/>
        <w:widowControl w:val="0"/>
        <w:kinsoku/>
        <w:wordWrap/>
        <w:overflowPunct/>
        <w:topLinePunct w:val="0"/>
        <w:autoSpaceDE/>
        <w:autoSpaceDN/>
        <w:bidi w:val="0"/>
        <w:adjustRightInd/>
        <w:snapToGrid/>
        <w:spacing w:line="560" w:lineRule="exact"/>
        <w:jc w:val="both"/>
        <w:textAlignment w:val="auto"/>
      </w:pPr>
      <w:r>
        <w:rPr>
          <w:rFonts w:hint="eastAsia"/>
          <w:lang w:eastAsia="zh-CN"/>
        </w:rPr>
        <w:t>（七）</w:t>
      </w:r>
      <w:r>
        <w:t>负责应由本院承办的对看守所执法活动的法律监督工作，领导下级人民检察院开展对看守所执法活动的法律监督工作。</w:t>
      </w:r>
    </w:p>
    <w:p>
      <w:pPr>
        <w:pStyle w:val="19"/>
        <w:keepNext w:val="0"/>
        <w:keepLines w:val="0"/>
        <w:pageBreakBefore w:val="0"/>
        <w:widowControl w:val="0"/>
        <w:kinsoku/>
        <w:wordWrap/>
        <w:overflowPunct/>
        <w:topLinePunct w:val="0"/>
        <w:autoSpaceDE/>
        <w:autoSpaceDN/>
        <w:bidi w:val="0"/>
        <w:adjustRightInd/>
        <w:snapToGrid/>
        <w:spacing w:line="560" w:lineRule="exact"/>
        <w:jc w:val="both"/>
        <w:textAlignment w:val="auto"/>
      </w:pPr>
      <w:r>
        <w:rPr>
          <w:rFonts w:hint="eastAsia"/>
          <w:lang w:eastAsia="zh-CN"/>
        </w:rPr>
        <w:t>（八）</w:t>
      </w:r>
      <w:r>
        <w:t>受理向本院的控告申诉，领导下级人民检察院控告申诉检察工作。</w:t>
      </w:r>
    </w:p>
    <w:p>
      <w:pPr>
        <w:pStyle w:val="19"/>
        <w:keepNext w:val="0"/>
        <w:keepLines w:val="0"/>
        <w:pageBreakBefore w:val="0"/>
        <w:widowControl w:val="0"/>
        <w:kinsoku/>
        <w:wordWrap/>
        <w:overflowPunct/>
        <w:topLinePunct w:val="0"/>
        <w:autoSpaceDE/>
        <w:autoSpaceDN/>
        <w:bidi w:val="0"/>
        <w:adjustRightInd/>
        <w:snapToGrid/>
        <w:spacing w:line="560" w:lineRule="exact"/>
        <w:jc w:val="both"/>
        <w:textAlignment w:val="auto"/>
      </w:pPr>
      <w:r>
        <w:rPr>
          <w:rFonts w:hint="eastAsia"/>
          <w:lang w:eastAsia="zh-CN"/>
        </w:rPr>
        <w:t>（九）</w:t>
      </w:r>
      <w:r>
        <w:t>负责对下级人民检察院在行使检察权中作出的决定进行审查，纠正错误决定。</w:t>
      </w:r>
    </w:p>
    <w:p>
      <w:pPr>
        <w:pStyle w:val="19"/>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jc w:val="both"/>
        <w:textAlignment w:val="auto"/>
      </w:pPr>
      <w:r>
        <w:rPr>
          <w:rFonts w:hint="eastAsia"/>
          <w:lang w:eastAsia="zh-CN"/>
        </w:rPr>
        <w:t>（十）</w:t>
      </w:r>
      <w:r>
        <w:t>组织对检察工作中法律政策具体应用问题进行研究；组织开展检察机关理论研究工作。</w:t>
      </w:r>
    </w:p>
    <w:p>
      <w:pPr>
        <w:pStyle w:val="19"/>
        <w:keepNext w:val="0"/>
        <w:keepLines w:val="0"/>
        <w:pageBreakBefore w:val="0"/>
        <w:widowControl w:val="0"/>
        <w:kinsoku/>
        <w:wordWrap/>
        <w:overflowPunct/>
        <w:topLinePunct w:val="0"/>
        <w:autoSpaceDE/>
        <w:autoSpaceDN/>
        <w:bidi w:val="0"/>
        <w:adjustRightInd/>
        <w:snapToGrid/>
        <w:spacing w:line="560" w:lineRule="exact"/>
        <w:jc w:val="both"/>
        <w:textAlignment w:val="auto"/>
      </w:pPr>
      <w:r>
        <w:rPr>
          <w:rFonts w:hint="eastAsia"/>
          <w:lang w:eastAsia="zh-CN"/>
        </w:rPr>
        <w:t>（十一）</w:t>
      </w:r>
      <w:r>
        <w:t>负责雄安新区检察机关检务保障工作，领导雄安新区检察机关技术、信息化建设工作。</w:t>
      </w:r>
    </w:p>
    <w:p>
      <w:pPr>
        <w:pStyle w:val="19"/>
        <w:keepNext w:val="0"/>
        <w:keepLines w:val="0"/>
        <w:pageBreakBefore w:val="0"/>
        <w:widowControl w:val="0"/>
        <w:kinsoku/>
        <w:wordWrap/>
        <w:overflowPunct/>
        <w:topLinePunct w:val="0"/>
        <w:autoSpaceDE/>
        <w:autoSpaceDN/>
        <w:bidi w:val="0"/>
        <w:adjustRightInd/>
        <w:snapToGrid/>
        <w:spacing w:line="560" w:lineRule="exact"/>
        <w:jc w:val="both"/>
        <w:textAlignment w:val="auto"/>
      </w:pPr>
      <w:r>
        <w:rPr>
          <w:rFonts w:hint="eastAsia"/>
          <w:lang w:eastAsia="zh-CN"/>
        </w:rPr>
        <w:t>（十二）</w:t>
      </w:r>
      <w:r>
        <w:t>负责雄安新区检察机关队伍建设和思想政治工作，管理检察官及其他检察人员；按照权限，管理和考核下级人民检察院领导班子及领导干部。</w:t>
      </w:r>
    </w:p>
    <w:p>
      <w:pPr>
        <w:pStyle w:val="19"/>
        <w:keepNext w:val="0"/>
        <w:keepLines w:val="0"/>
        <w:pageBreakBefore w:val="0"/>
        <w:widowControl w:val="0"/>
        <w:kinsoku/>
        <w:wordWrap/>
        <w:overflowPunct/>
        <w:topLinePunct w:val="0"/>
        <w:autoSpaceDE/>
        <w:autoSpaceDN/>
        <w:bidi w:val="0"/>
        <w:adjustRightInd/>
        <w:snapToGrid/>
        <w:spacing w:line="560" w:lineRule="exact"/>
        <w:jc w:val="both"/>
        <w:textAlignment w:val="auto"/>
      </w:pPr>
      <w:r>
        <w:rPr>
          <w:rFonts w:hint="eastAsia"/>
          <w:lang w:eastAsia="zh-CN"/>
        </w:rPr>
        <w:t>（十三）</w:t>
      </w:r>
      <w:r>
        <w:t>领导雄安新区检察机关检务督察、巡察等工作，加强检察机关党风廉政建设和反腐败工作。</w:t>
      </w:r>
    </w:p>
    <w:p>
      <w:pPr>
        <w:pStyle w:val="19"/>
        <w:keepNext w:val="0"/>
        <w:keepLines w:val="0"/>
        <w:pageBreakBefore w:val="0"/>
        <w:widowControl w:val="0"/>
        <w:kinsoku/>
        <w:wordWrap/>
        <w:overflowPunct/>
        <w:topLinePunct w:val="0"/>
        <w:autoSpaceDE/>
        <w:autoSpaceDN/>
        <w:bidi w:val="0"/>
        <w:adjustRightInd/>
        <w:snapToGrid/>
        <w:spacing w:line="560" w:lineRule="exact"/>
        <w:jc w:val="both"/>
        <w:textAlignment w:val="auto"/>
      </w:pPr>
      <w:r>
        <w:rPr>
          <w:rFonts w:hint="eastAsia"/>
          <w:lang w:eastAsia="zh-CN"/>
        </w:rPr>
        <w:t>（十四）</w:t>
      </w:r>
      <w:r>
        <w:t>完成上级检察机关交办的其他事项；履行法律法规规定的其他职责。</w:t>
      </w:r>
    </w:p>
    <w:p>
      <w:pPr>
        <w:pStyle w:val="19"/>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985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2464" w:type="dxa"/>
            <w:vAlign w:val="center"/>
          </w:tcPr>
          <w:p>
            <w:pPr>
              <w:pStyle w:val="12"/>
            </w:pPr>
            <w:r>
              <w:t>单位名称</w:t>
            </w:r>
          </w:p>
        </w:tc>
        <w:tc>
          <w:tcPr>
            <w:tcW w:w="2464" w:type="dxa"/>
            <w:vAlign w:val="center"/>
          </w:tcPr>
          <w:p>
            <w:pPr>
              <w:pStyle w:val="12"/>
            </w:pPr>
            <w:r>
              <w:t>单位性质</w:t>
            </w:r>
          </w:p>
        </w:tc>
        <w:tc>
          <w:tcPr>
            <w:tcW w:w="2464" w:type="dxa"/>
            <w:vAlign w:val="center"/>
          </w:tcPr>
          <w:p>
            <w:pPr>
              <w:pStyle w:val="12"/>
            </w:pPr>
            <w:r>
              <w:t>单位规格</w:t>
            </w:r>
          </w:p>
        </w:tc>
        <w:tc>
          <w:tcPr>
            <w:tcW w:w="2464"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464" w:type="dxa"/>
            <w:vAlign w:val="center"/>
          </w:tcPr>
          <w:p>
            <w:pPr>
              <w:pStyle w:val="14"/>
            </w:pPr>
            <w:r>
              <w:t>河北省人民检察院雄安新区分院</w:t>
            </w:r>
          </w:p>
        </w:tc>
        <w:tc>
          <w:tcPr>
            <w:tcW w:w="2464" w:type="dxa"/>
            <w:vAlign w:val="center"/>
          </w:tcPr>
          <w:p>
            <w:pPr>
              <w:pStyle w:val="15"/>
            </w:pPr>
            <w:r>
              <w:t>行政</w:t>
            </w:r>
          </w:p>
        </w:tc>
        <w:tc>
          <w:tcPr>
            <w:tcW w:w="2464" w:type="dxa"/>
            <w:vAlign w:val="center"/>
          </w:tcPr>
          <w:p>
            <w:pPr>
              <w:pStyle w:val="15"/>
            </w:pPr>
            <w:r>
              <w:t>副厅（地）级</w:t>
            </w:r>
          </w:p>
        </w:tc>
        <w:tc>
          <w:tcPr>
            <w:tcW w:w="2464" w:type="dxa"/>
            <w:vAlign w:val="center"/>
          </w:tcPr>
          <w:p>
            <w:pPr>
              <w:pStyle w:val="15"/>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spacing w:before="0" w:after="0" w:line="500" w:lineRule="exact"/>
        <w:ind w:firstLine="560"/>
        <w:jc w:val="left"/>
        <w:outlineLvl w:val="9"/>
      </w:pPr>
      <w:r>
        <w:rPr>
          <w:rFonts w:ascii="Times New Roman" w:hAnsi="Times New Roman" w:eastAsia="方正仿宋_GBK" w:cs="Times New Roman"/>
          <w:color w:val="000000"/>
          <w:sz w:val="28"/>
        </w:rPr>
        <w:t>按照预算管理有关规定，目前我省部门预算的编制实行综合预算管理，即全部收入和支出都反映在预算中。河北省人民检察院雄安新区分院机关及所属事业单位的收支包含在部门预算中。</w:t>
      </w:r>
    </w:p>
    <w:p>
      <w:pPr>
        <w:pStyle w:val="20"/>
      </w:pP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1"/>
        <w:keepNext w:val="0"/>
        <w:keepLines w:val="0"/>
        <w:pageBreakBefore w:val="0"/>
        <w:widowControl w:val="0"/>
        <w:kinsoku/>
        <w:wordWrap/>
        <w:overflowPunct/>
        <w:topLinePunct w:val="0"/>
        <w:autoSpaceDE/>
        <w:autoSpaceDN/>
        <w:bidi w:val="0"/>
        <w:adjustRightInd/>
        <w:snapToGrid/>
        <w:spacing w:line="560" w:lineRule="exact"/>
        <w:jc w:val="both"/>
        <w:textAlignment w:val="auto"/>
      </w:pPr>
      <w:r>
        <w:t>河北省人民检察院雄安新区分院无机关运行经费预算安排（由省财政保障）。</w:t>
      </w:r>
    </w:p>
    <w:p>
      <w:pPr>
        <w:pStyle w:val="21"/>
      </w:pP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2"/>
      </w:pPr>
      <w:r>
        <w:t>202</w:t>
      </w:r>
      <w:r>
        <w:rPr>
          <w:rFonts w:hint="eastAsia"/>
          <w:lang w:val="en-US" w:eastAsia="zh-CN"/>
        </w:rPr>
        <w:t>3</w:t>
      </w:r>
      <w:r>
        <w:t>年，我院一般公共预算安排“三公”经费20万元。安排经费为公务用车购置及运维费，其中：车辆运行维护费20万元。</w:t>
      </w:r>
      <w:r>
        <w:rPr>
          <w:rFonts w:hint="eastAsia"/>
          <w:lang w:eastAsia="zh-CN"/>
        </w:rPr>
        <w:t>与</w:t>
      </w:r>
      <w:r>
        <w:rPr>
          <w:rFonts w:hint="eastAsia"/>
          <w:lang w:val="en-US" w:eastAsia="zh-CN"/>
        </w:rPr>
        <w:t>2022年持平。</w:t>
      </w:r>
    </w:p>
    <w:p>
      <w:pPr>
        <w:spacing w:before="10" w:after="10" w:line="360" w:lineRule="auto"/>
        <w:ind w:firstLine="640"/>
        <w:jc w:val="left"/>
        <w:outlineLvl w:val="2"/>
      </w:pPr>
      <w:bookmarkStart w:id="13" w:name="_Toc_3_3_0000000014"/>
      <w:r>
        <w:rPr>
          <w:rFonts w:ascii="黑体" w:hAnsi="黑体" w:eastAsia="黑体" w:cs="黑体"/>
          <w:color w:val="000000"/>
          <w:sz w:val="32"/>
        </w:rPr>
        <w:t>五、预算绩效信息</w:t>
      </w:r>
      <w:bookmarkEnd w:id="13"/>
    </w:p>
    <w:p>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3"/>
        <w:keepNext w:val="0"/>
        <w:keepLines w:val="0"/>
        <w:pageBreakBefore w:val="0"/>
        <w:widowControl w:val="0"/>
        <w:kinsoku/>
        <w:wordWrap/>
        <w:overflowPunct/>
        <w:topLinePunct w:val="0"/>
        <w:autoSpaceDE/>
        <w:autoSpaceDN/>
        <w:bidi w:val="0"/>
        <w:adjustRightInd/>
        <w:snapToGrid/>
        <w:spacing w:line="560" w:lineRule="exact"/>
        <w:jc w:val="both"/>
        <w:textAlignment w:val="auto"/>
      </w:pPr>
      <w:r>
        <w:rPr>
          <w:rFonts w:hint="eastAsia"/>
          <w:lang w:eastAsia="zh-CN"/>
        </w:rPr>
        <w:t>以习近平新时代中国特色社会主义思想为指导，深入贯彻落实党的二十大精神，紧紧把握雄安检察双重发展机遇，坚决贯彻落实《关于支持河北雄安新区全面深化改革和扩大开放的指导意见》和《关于加强新时代检察机关法律监督工作的意见》，坚持党的绝对领导，做优做实人民至上，深化创新能动履职，聚焦</w:t>
      </w:r>
      <w:r>
        <w:rPr>
          <w:rFonts w:hint="eastAsia"/>
          <w:lang w:val="en-US" w:eastAsia="zh-CN"/>
        </w:rPr>
        <w:t>2023年“展五新”目标，持续加大雄安检察品牌争创力度，全方位推进法律监督理念、体系、机制、能力现代化，以检察工作现代化服务保障中国式现代化雄安实践场景。</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4"/>
        <w:keepNext w:val="0"/>
        <w:keepLines w:val="0"/>
        <w:pageBreakBefore w:val="0"/>
        <w:widowControl w:val="0"/>
        <w:kinsoku/>
        <w:wordWrap/>
        <w:overflowPunct/>
        <w:topLinePunct w:val="0"/>
        <w:autoSpaceDE/>
        <w:autoSpaceDN/>
        <w:bidi w:val="0"/>
        <w:adjustRightInd/>
        <w:snapToGrid/>
        <w:spacing w:line="560" w:lineRule="exact"/>
        <w:jc w:val="both"/>
        <w:textAlignment w:val="auto"/>
      </w:pPr>
      <w:r>
        <w:rPr>
          <w:rFonts w:hint="eastAsia"/>
          <w:lang w:val="en-US" w:eastAsia="zh-CN"/>
        </w:rPr>
        <w:t>1.</w:t>
      </w:r>
      <w:r>
        <w:t>加强普通刑事犯罪检察工作</w:t>
      </w:r>
    </w:p>
    <w:p>
      <w:pPr>
        <w:pStyle w:val="24"/>
        <w:keepNext w:val="0"/>
        <w:keepLines w:val="0"/>
        <w:pageBreakBefore w:val="0"/>
        <w:widowControl w:val="0"/>
        <w:kinsoku/>
        <w:wordWrap/>
        <w:overflowPunct/>
        <w:topLinePunct w:val="0"/>
        <w:autoSpaceDE/>
        <w:autoSpaceDN/>
        <w:bidi w:val="0"/>
        <w:adjustRightInd/>
        <w:snapToGrid/>
        <w:spacing w:line="560" w:lineRule="exact"/>
        <w:jc w:val="both"/>
        <w:textAlignment w:val="auto"/>
      </w:pPr>
      <w:r>
        <w:t>绩效目标：依法严肃打击侵犯公民财产权、人身权、扰乱社会秩序等各类刑事犯罪；</w:t>
      </w:r>
      <w:r>
        <w:rPr>
          <w:rFonts w:hint="eastAsia"/>
          <w:lang w:eastAsia="zh-CN"/>
        </w:rPr>
        <w:t>持续</w:t>
      </w:r>
      <w:r>
        <w:t>推进扫黑除恶</w:t>
      </w:r>
      <w:r>
        <w:rPr>
          <w:rFonts w:hint="eastAsia"/>
          <w:lang w:eastAsia="zh-CN"/>
        </w:rPr>
        <w:t>斗争常态化</w:t>
      </w:r>
      <w:r>
        <w:t>工作，</w:t>
      </w:r>
      <w:r>
        <w:rPr>
          <w:rFonts w:hint="eastAsia"/>
          <w:lang w:eastAsia="zh-CN"/>
        </w:rPr>
        <w:t>保证</w:t>
      </w:r>
      <w:r>
        <w:t>对重大涉黑恶案件督办力度，做好起诉案件的点对点指导工作，</w:t>
      </w:r>
      <w:r>
        <w:rPr>
          <w:rFonts w:hint="eastAsia"/>
          <w:lang w:eastAsia="zh-CN"/>
        </w:rPr>
        <w:t>做好“四大行业”的治理，</w:t>
      </w:r>
      <w:r>
        <w:t>持续做好认罪认罚从宽工作，不断提升办案质效；</w:t>
      </w:r>
      <w:r>
        <w:rPr>
          <w:rFonts w:hint="eastAsia"/>
          <w:lang w:eastAsia="zh-CN"/>
        </w:rPr>
        <w:t>加强侦查监督与协作配合办公室建设，推动办公室实质化、长效化、规范化运行，保障刑事案件质效。</w:t>
      </w:r>
      <w:r>
        <w:t>以规范化、专业化为导向，加强普通刑事犯罪检察人才队伍和工作机制建设。</w:t>
      </w:r>
    </w:p>
    <w:p>
      <w:pPr>
        <w:pStyle w:val="24"/>
        <w:keepNext w:val="0"/>
        <w:keepLines w:val="0"/>
        <w:pageBreakBefore w:val="0"/>
        <w:widowControl w:val="0"/>
        <w:kinsoku/>
        <w:wordWrap/>
        <w:overflowPunct/>
        <w:topLinePunct w:val="0"/>
        <w:autoSpaceDE/>
        <w:autoSpaceDN/>
        <w:bidi w:val="0"/>
        <w:adjustRightInd/>
        <w:snapToGrid/>
        <w:spacing w:line="560" w:lineRule="exact"/>
        <w:jc w:val="both"/>
        <w:textAlignment w:val="auto"/>
      </w:pPr>
      <w:r>
        <w:rPr>
          <w:rFonts w:hint="eastAsia"/>
          <w:lang w:val="en-US" w:eastAsia="zh-CN"/>
        </w:rPr>
        <w:t>2.</w:t>
      </w:r>
      <w:r>
        <w:t>进一步提升重大刑事犯罪办案质效</w:t>
      </w:r>
    </w:p>
    <w:p>
      <w:pPr>
        <w:pStyle w:val="24"/>
        <w:keepNext w:val="0"/>
        <w:keepLines w:val="0"/>
        <w:pageBreakBefore w:val="0"/>
        <w:widowControl w:val="0"/>
        <w:kinsoku/>
        <w:wordWrap/>
        <w:overflowPunct/>
        <w:topLinePunct w:val="0"/>
        <w:autoSpaceDE/>
        <w:autoSpaceDN/>
        <w:bidi w:val="0"/>
        <w:adjustRightInd/>
        <w:snapToGrid/>
        <w:spacing w:line="560" w:lineRule="exact"/>
        <w:jc w:val="both"/>
        <w:textAlignment w:val="auto"/>
      </w:pPr>
      <w:r>
        <w:t>绩效目标：充分发挥重罪检察职能，坚持以司法办案为中心，依法严厉打击危害国家安全、危害公共安全、故意杀人、抢劫、毒品等重大刑事犯罪</w:t>
      </w:r>
      <w:r>
        <w:rPr>
          <w:rFonts w:hint="eastAsia"/>
          <w:lang w:eastAsia="zh-CN"/>
        </w:rPr>
        <w:t>，推进重罪案件捕诉一体化办案机制建设，持续抓好“四号检察建议”“七号检察建议”“八号检察建议”落实见效</w:t>
      </w:r>
      <w:r>
        <w:t>，</w:t>
      </w:r>
      <w:r>
        <w:rPr>
          <w:rFonts w:hint="eastAsia"/>
          <w:lang w:eastAsia="zh-CN"/>
        </w:rPr>
        <w:t>提升服务和保障社会治理能力，</w:t>
      </w:r>
      <w:r>
        <w:t>进一步提升办案质效，维护社会和谐稳定。</w:t>
      </w:r>
    </w:p>
    <w:p>
      <w:pPr>
        <w:pStyle w:val="24"/>
        <w:keepNext w:val="0"/>
        <w:keepLines w:val="0"/>
        <w:pageBreakBefore w:val="0"/>
        <w:widowControl w:val="0"/>
        <w:kinsoku/>
        <w:wordWrap/>
        <w:overflowPunct/>
        <w:topLinePunct w:val="0"/>
        <w:autoSpaceDE/>
        <w:autoSpaceDN/>
        <w:bidi w:val="0"/>
        <w:adjustRightInd/>
        <w:snapToGrid/>
        <w:spacing w:line="560" w:lineRule="exact"/>
        <w:jc w:val="both"/>
        <w:textAlignment w:val="auto"/>
      </w:pPr>
      <w:r>
        <w:rPr>
          <w:rFonts w:hint="eastAsia"/>
          <w:lang w:val="en-US" w:eastAsia="zh-CN"/>
        </w:rPr>
        <w:t>3.</w:t>
      </w:r>
      <w:r>
        <w:t>为反腐败深入发展提供有力司法保障</w:t>
      </w:r>
    </w:p>
    <w:p>
      <w:pPr>
        <w:pStyle w:val="24"/>
        <w:keepNext w:val="0"/>
        <w:keepLines w:val="0"/>
        <w:pageBreakBefore w:val="0"/>
        <w:widowControl w:val="0"/>
        <w:kinsoku/>
        <w:wordWrap/>
        <w:overflowPunct/>
        <w:topLinePunct w:val="0"/>
        <w:autoSpaceDE/>
        <w:autoSpaceDN/>
        <w:bidi w:val="0"/>
        <w:adjustRightInd/>
        <w:snapToGrid/>
        <w:spacing w:line="560" w:lineRule="exact"/>
        <w:jc w:val="both"/>
        <w:textAlignment w:val="auto"/>
      </w:pPr>
      <w:r>
        <w:t>绩效目标：充分履行职务犯罪检察职能，着力提高案件办理质效</w:t>
      </w:r>
      <w:r>
        <w:rPr>
          <w:rFonts w:hint="eastAsia"/>
          <w:lang w:eastAsia="zh-CN"/>
        </w:rPr>
        <w:t>，做好行贿受贿犯罪一起查处工作</w:t>
      </w:r>
      <w:r>
        <w:t>。与新区监察组、审判机关、公安机关的协调配合，形成反腐败的工作合力。</w:t>
      </w:r>
    </w:p>
    <w:p>
      <w:pPr>
        <w:pStyle w:val="24"/>
        <w:keepNext w:val="0"/>
        <w:keepLines w:val="0"/>
        <w:pageBreakBefore w:val="0"/>
        <w:widowControl w:val="0"/>
        <w:kinsoku/>
        <w:wordWrap/>
        <w:overflowPunct/>
        <w:topLinePunct w:val="0"/>
        <w:autoSpaceDE/>
        <w:autoSpaceDN/>
        <w:bidi w:val="0"/>
        <w:adjustRightInd/>
        <w:snapToGrid/>
        <w:spacing w:line="560" w:lineRule="exact"/>
        <w:jc w:val="both"/>
        <w:textAlignment w:val="auto"/>
      </w:pPr>
      <w:r>
        <w:rPr>
          <w:rFonts w:hint="eastAsia"/>
          <w:lang w:val="en-US" w:eastAsia="zh-CN"/>
        </w:rPr>
        <w:t>4.</w:t>
      </w:r>
      <w:r>
        <w:t>加强经济犯罪检察工作</w:t>
      </w:r>
    </w:p>
    <w:p>
      <w:pPr>
        <w:pStyle w:val="24"/>
        <w:keepNext w:val="0"/>
        <w:keepLines w:val="0"/>
        <w:pageBreakBefore w:val="0"/>
        <w:widowControl w:val="0"/>
        <w:kinsoku/>
        <w:wordWrap/>
        <w:overflowPunct/>
        <w:topLinePunct w:val="0"/>
        <w:autoSpaceDE/>
        <w:autoSpaceDN/>
        <w:bidi w:val="0"/>
        <w:adjustRightInd/>
        <w:snapToGrid/>
        <w:spacing w:line="560" w:lineRule="exact"/>
        <w:jc w:val="both"/>
        <w:textAlignment w:val="auto"/>
      </w:pPr>
      <w:r>
        <w:t>绩效目标：准确把握经济犯罪检察工作在刑事检察中的职能定位，履行好捕诉职能，依法严厉打击经济犯罪，全力推进防范化解重大风险攻坚战。依法严惩危害食品药品安全犯罪</w:t>
      </w:r>
      <w:r>
        <w:rPr>
          <w:rFonts w:hint="eastAsia"/>
          <w:lang w:eastAsia="zh-CN"/>
        </w:rPr>
        <w:t>、</w:t>
      </w:r>
      <w:r>
        <w:t>涉农领域经济犯罪、生态领域经济犯罪。依法打击侵犯民营企业合法权益犯罪活动，依法平等保护民营经济合法权益。积极参与整顿和规范市场秩序，依法惩治串通投标、强迫交易、合同诈骗等经济犯罪，依法维护市场经济秩序。</w:t>
      </w:r>
      <w:r>
        <w:rPr>
          <w:rFonts w:hint="eastAsia"/>
          <w:lang w:eastAsia="zh-CN"/>
        </w:rPr>
        <w:t>依法做强做实知识产权检察工作，保障新区创新主体健康发展。进一步加强反洗钱工作，做好涉案企业合规建设工作。</w:t>
      </w:r>
      <w:r>
        <w:t>以规范化、专业化为导向，注重加强经济犯罪检察人才队伍和工作机制建设。</w:t>
      </w:r>
    </w:p>
    <w:p>
      <w:pPr>
        <w:pStyle w:val="24"/>
        <w:keepNext w:val="0"/>
        <w:keepLines w:val="0"/>
        <w:pageBreakBefore w:val="0"/>
        <w:widowControl w:val="0"/>
        <w:kinsoku/>
        <w:wordWrap/>
        <w:overflowPunct/>
        <w:topLinePunct w:val="0"/>
        <w:autoSpaceDE/>
        <w:autoSpaceDN/>
        <w:bidi w:val="0"/>
        <w:adjustRightInd/>
        <w:snapToGrid/>
        <w:spacing w:line="560" w:lineRule="exact"/>
        <w:jc w:val="both"/>
        <w:textAlignment w:val="auto"/>
      </w:pPr>
      <w:r>
        <w:rPr>
          <w:rFonts w:hint="eastAsia"/>
          <w:lang w:val="en-US" w:eastAsia="zh-CN"/>
        </w:rPr>
        <w:t>5.</w:t>
      </w:r>
      <w:r>
        <w:t>刑事执行检察职能得到充分发挥</w:t>
      </w:r>
    </w:p>
    <w:p>
      <w:pPr>
        <w:pStyle w:val="24"/>
        <w:keepNext w:val="0"/>
        <w:keepLines w:val="0"/>
        <w:pageBreakBefore w:val="0"/>
        <w:widowControl w:val="0"/>
        <w:kinsoku/>
        <w:wordWrap/>
        <w:overflowPunct/>
        <w:topLinePunct w:val="0"/>
        <w:autoSpaceDE/>
        <w:autoSpaceDN/>
        <w:bidi w:val="0"/>
        <w:adjustRightInd/>
        <w:snapToGrid/>
        <w:spacing w:line="560" w:lineRule="exact"/>
        <w:jc w:val="both"/>
        <w:textAlignment w:val="auto"/>
      </w:pPr>
      <w:r>
        <w:t>绩效目标：查办诉讼过程中侵犯公民权利、损害司法公正犯罪的能力不断提高，刑事执行检察监督方式进一步科学、合理，监督效果更加突显，刑事被执行人的权益得到有效保障，监管场所不发生重大敏感事件，</w:t>
      </w:r>
      <w:r>
        <w:rPr>
          <w:rFonts w:hint="eastAsia"/>
          <w:lang w:eastAsia="zh-CN"/>
        </w:rPr>
        <w:t>深入开展剥夺政治权利执行工作，服务新区征迁建设大局，强化社区矫正和财产刑执行检察工作，</w:t>
      </w:r>
      <w:r>
        <w:t>刑事执行领域公平正义得以实现。</w:t>
      </w:r>
    </w:p>
    <w:p>
      <w:pPr>
        <w:pStyle w:val="24"/>
        <w:keepNext w:val="0"/>
        <w:keepLines w:val="0"/>
        <w:pageBreakBefore w:val="0"/>
        <w:widowControl w:val="0"/>
        <w:kinsoku/>
        <w:wordWrap/>
        <w:overflowPunct/>
        <w:topLinePunct w:val="0"/>
        <w:autoSpaceDE/>
        <w:autoSpaceDN/>
        <w:bidi w:val="0"/>
        <w:adjustRightInd/>
        <w:snapToGrid/>
        <w:spacing w:line="560" w:lineRule="exact"/>
        <w:jc w:val="both"/>
        <w:textAlignment w:val="auto"/>
      </w:pPr>
      <w:r>
        <w:rPr>
          <w:rFonts w:hint="eastAsia"/>
          <w:lang w:val="en-US" w:eastAsia="zh-CN"/>
        </w:rPr>
        <w:t>6.</w:t>
      </w:r>
      <w:r>
        <w:t>全面履行民事检察职能</w:t>
      </w:r>
    </w:p>
    <w:p>
      <w:pPr>
        <w:pStyle w:val="24"/>
        <w:keepNext w:val="0"/>
        <w:keepLines w:val="0"/>
        <w:pageBreakBefore w:val="0"/>
        <w:widowControl w:val="0"/>
        <w:kinsoku/>
        <w:wordWrap/>
        <w:overflowPunct/>
        <w:topLinePunct w:val="0"/>
        <w:autoSpaceDE/>
        <w:autoSpaceDN/>
        <w:bidi w:val="0"/>
        <w:adjustRightInd/>
        <w:snapToGrid/>
        <w:spacing w:line="560" w:lineRule="exact"/>
        <w:jc w:val="both"/>
        <w:textAlignment w:val="auto"/>
      </w:pPr>
      <w:r>
        <w:t xml:space="preserve">绩效目标：坚持以办案为中心，以做强民事检察工作为目标，坚持精细化监督理念，不断优化裁判结果监督，强化审判人员违法行为监督和执行活动监督，实化虚假诉讼监督，深化全面完善多元化监督格局，推进民事检察工作实现新突破、再上新台阶。  </w:t>
      </w:r>
    </w:p>
    <w:p>
      <w:pPr>
        <w:pStyle w:val="24"/>
        <w:keepNext w:val="0"/>
        <w:keepLines w:val="0"/>
        <w:pageBreakBefore w:val="0"/>
        <w:widowControl w:val="0"/>
        <w:kinsoku/>
        <w:wordWrap/>
        <w:overflowPunct/>
        <w:topLinePunct w:val="0"/>
        <w:autoSpaceDE/>
        <w:autoSpaceDN/>
        <w:bidi w:val="0"/>
        <w:adjustRightInd/>
        <w:snapToGrid/>
        <w:spacing w:line="560" w:lineRule="exact"/>
        <w:jc w:val="both"/>
        <w:textAlignment w:val="auto"/>
      </w:pPr>
      <w:r>
        <w:rPr>
          <w:rFonts w:hint="eastAsia"/>
          <w:lang w:val="en-US" w:eastAsia="zh-CN"/>
        </w:rPr>
        <w:t>7.</w:t>
      </w:r>
      <w:r>
        <w:t>推动行政检察工作科学发展</w:t>
      </w:r>
    </w:p>
    <w:p>
      <w:pPr>
        <w:pStyle w:val="24"/>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eastAsia="方正仿宋_GBK"/>
          <w:lang w:eastAsia="zh-CN"/>
        </w:rPr>
      </w:pPr>
      <w:r>
        <w:t>绩效目标：提高政治站位，更新监督理念，建立健全行政法律监督格局，提高办案质效，</w:t>
      </w:r>
      <w:r>
        <w:rPr>
          <w:rFonts w:hint="eastAsia"/>
          <w:lang w:eastAsia="zh-CN"/>
        </w:rPr>
        <w:t>积极探索行政违法行为监督，</w:t>
      </w:r>
      <w:r>
        <w:t>扩大行政检察工作影响力，促进行政检察人员专业化建设。</w:t>
      </w:r>
      <w:r>
        <w:rPr>
          <w:rFonts w:hint="eastAsia"/>
          <w:lang w:eastAsia="zh-CN"/>
        </w:rPr>
        <w:t>开展行政争议实质性化解，促进溯源治理。</w:t>
      </w:r>
    </w:p>
    <w:p>
      <w:pPr>
        <w:pStyle w:val="24"/>
        <w:keepNext w:val="0"/>
        <w:keepLines w:val="0"/>
        <w:pageBreakBefore w:val="0"/>
        <w:widowControl w:val="0"/>
        <w:kinsoku/>
        <w:wordWrap/>
        <w:overflowPunct/>
        <w:topLinePunct w:val="0"/>
        <w:autoSpaceDE/>
        <w:autoSpaceDN/>
        <w:bidi w:val="0"/>
        <w:adjustRightInd/>
        <w:snapToGrid/>
        <w:spacing w:line="560" w:lineRule="exact"/>
        <w:jc w:val="both"/>
        <w:textAlignment w:val="auto"/>
      </w:pPr>
      <w:r>
        <w:rPr>
          <w:rFonts w:hint="eastAsia"/>
          <w:lang w:val="en-US" w:eastAsia="zh-CN"/>
        </w:rPr>
        <w:t>8.</w:t>
      </w:r>
      <w:r>
        <w:t>持续加大公益诉讼检察工作力度</w:t>
      </w:r>
    </w:p>
    <w:p>
      <w:pPr>
        <w:pStyle w:val="24"/>
        <w:keepNext w:val="0"/>
        <w:keepLines w:val="0"/>
        <w:pageBreakBefore w:val="0"/>
        <w:widowControl w:val="0"/>
        <w:kinsoku/>
        <w:wordWrap/>
        <w:overflowPunct/>
        <w:topLinePunct w:val="0"/>
        <w:autoSpaceDE/>
        <w:autoSpaceDN/>
        <w:bidi w:val="0"/>
        <w:adjustRightInd/>
        <w:snapToGrid/>
        <w:spacing w:line="560" w:lineRule="exact"/>
        <w:jc w:val="both"/>
        <w:textAlignment w:val="auto"/>
      </w:pPr>
      <w:r>
        <w:t>绩效目标：加大办理“4+</w:t>
      </w:r>
      <w:r>
        <w:rPr>
          <w:rFonts w:hint="eastAsia"/>
          <w:lang w:val="en-US" w:eastAsia="zh-CN"/>
        </w:rPr>
        <w:t>5</w:t>
      </w:r>
      <w:r>
        <w:t>”领域公益诉讼案件力度，积极稳妥开展“等”外领域公益诉讼案件办理工作。</w:t>
      </w:r>
      <w:r>
        <w:rPr>
          <w:rFonts w:hint="eastAsia"/>
          <w:lang w:eastAsia="zh-CN"/>
        </w:rPr>
        <w:t>提升新区检察机关进一步服务白洋淀生态环境治理和保护工作质效，为白洋淀生态环境保护提供坚强司法保障，开展白洋淀生态环境审计问题整改公益诉讼专项行动。</w:t>
      </w:r>
      <w:r>
        <w:t>加大公益诉讼宣传力度，扩大公众对公益诉讼检察的知晓度、参与度，营造良好舆论氛围，构建社会治理共同体。</w:t>
      </w:r>
    </w:p>
    <w:p>
      <w:pPr>
        <w:pStyle w:val="24"/>
        <w:keepNext w:val="0"/>
        <w:keepLines w:val="0"/>
        <w:pageBreakBefore w:val="0"/>
        <w:widowControl w:val="0"/>
        <w:kinsoku/>
        <w:wordWrap/>
        <w:overflowPunct/>
        <w:topLinePunct w:val="0"/>
        <w:autoSpaceDE/>
        <w:autoSpaceDN/>
        <w:bidi w:val="0"/>
        <w:adjustRightInd/>
        <w:snapToGrid/>
        <w:spacing w:line="560" w:lineRule="exact"/>
        <w:jc w:val="both"/>
        <w:textAlignment w:val="auto"/>
      </w:pPr>
      <w:r>
        <w:rPr>
          <w:rFonts w:hint="eastAsia"/>
          <w:lang w:val="en-US" w:eastAsia="zh-CN"/>
        </w:rPr>
        <w:t>9.</w:t>
      </w:r>
      <w:r>
        <w:t>有效履行新时期未检职能</w:t>
      </w:r>
    </w:p>
    <w:p>
      <w:pPr>
        <w:pStyle w:val="24"/>
        <w:keepNext w:val="0"/>
        <w:keepLines w:val="0"/>
        <w:pageBreakBefore w:val="0"/>
        <w:widowControl w:val="0"/>
        <w:kinsoku/>
        <w:wordWrap/>
        <w:overflowPunct/>
        <w:topLinePunct w:val="0"/>
        <w:autoSpaceDE/>
        <w:autoSpaceDN/>
        <w:bidi w:val="0"/>
        <w:adjustRightInd/>
        <w:snapToGrid/>
        <w:spacing w:line="560" w:lineRule="exact"/>
        <w:jc w:val="both"/>
        <w:textAlignment w:val="auto"/>
      </w:pPr>
      <w:r>
        <w:t>绩效目标：严格落实各项未成年人特殊检察制度，切实保护涉罪未成年人及未成年被害人各项诉讼权利，将未成年人特殊司法理念、特殊司法任务落实到未检工作的每一个环节；加强未成年人检察社会支持体系建设，建立健全相关工作机制和制度，解决制约未成年人司法保护社会支持体系建设的难题</w:t>
      </w:r>
      <w:r>
        <w:rPr>
          <w:rFonts w:hint="eastAsia"/>
          <w:lang w:eastAsia="zh-CN"/>
        </w:rPr>
        <w:t>，联合有关部门有效开展家庭教育指导工作，全方位开展法治宣传教育工作，</w:t>
      </w:r>
      <w:r>
        <w:t>积极参与青少年法治教育工作，推动落实各级检察院检察长、</w:t>
      </w:r>
      <w:r>
        <w:rPr>
          <w:rFonts w:hint="eastAsia"/>
          <w:lang w:eastAsia="zh-CN"/>
        </w:rPr>
        <w:t>院领导</w:t>
      </w:r>
      <w:r>
        <w:t>担任辖区中小学校兼职法治副校长制度，继续深入推进法治进校园</w:t>
      </w:r>
      <w:r>
        <w:rPr>
          <w:rFonts w:hint="eastAsia"/>
          <w:lang w:eastAsia="zh-CN"/>
        </w:rPr>
        <w:t>、进乡村、进社区等</w:t>
      </w:r>
      <w:r>
        <w:t>各类法治宣</w:t>
      </w:r>
      <w:r>
        <w:rPr>
          <w:rFonts w:hint="eastAsia"/>
          <w:lang w:eastAsia="zh-CN"/>
        </w:rPr>
        <w:t>讲</w:t>
      </w:r>
      <w:r>
        <w:t>活动</w:t>
      </w:r>
      <w:r>
        <w:rPr>
          <w:rFonts w:hint="eastAsia"/>
          <w:lang w:eastAsia="zh-CN"/>
        </w:rPr>
        <w:t>，全力宣传“雄安未检园地”法治教育平台，促使平台发挥更大实效作用，继续打造新区未检特色品牌工作，稳步推进未成年人检察业务统一集中办理工作，全面铺开涉未工作刑事、民事、行政、公益诉讼业务，加快办理进度和深度</w:t>
      </w:r>
      <w:r>
        <w:t xml:space="preserve">。 </w:t>
      </w:r>
    </w:p>
    <w:p>
      <w:pPr>
        <w:pStyle w:val="24"/>
        <w:keepNext w:val="0"/>
        <w:keepLines w:val="0"/>
        <w:pageBreakBefore w:val="0"/>
        <w:widowControl w:val="0"/>
        <w:kinsoku/>
        <w:wordWrap/>
        <w:overflowPunct/>
        <w:topLinePunct w:val="0"/>
        <w:autoSpaceDE/>
        <w:autoSpaceDN/>
        <w:bidi w:val="0"/>
        <w:adjustRightInd/>
        <w:snapToGrid/>
        <w:spacing w:line="560" w:lineRule="exact"/>
        <w:jc w:val="both"/>
        <w:textAlignment w:val="auto"/>
      </w:pPr>
      <w:r>
        <w:rPr>
          <w:rFonts w:hint="eastAsia"/>
          <w:lang w:val="en-US" w:eastAsia="zh-CN"/>
        </w:rPr>
        <w:t>10.</w:t>
      </w:r>
      <w:r>
        <w:t>控告申诉检察业务能力整体增强</w:t>
      </w:r>
    </w:p>
    <w:p>
      <w:pPr>
        <w:pStyle w:val="24"/>
        <w:keepNext w:val="0"/>
        <w:keepLines w:val="0"/>
        <w:pageBreakBefore w:val="0"/>
        <w:widowControl w:val="0"/>
        <w:kinsoku/>
        <w:wordWrap/>
        <w:overflowPunct/>
        <w:topLinePunct w:val="0"/>
        <w:autoSpaceDE/>
        <w:autoSpaceDN/>
        <w:bidi w:val="0"/>
        <w:adjustRightInd/>
        <w:snapToGrid/>
        <w:spacing w:line="560" w:lineRule="exact"/>
        <w:jc w:val="both"/>
        <w:textAlignment w:val="auto"/>
      </w:pPr>
      <w:r>
        <w:t xml:space="preserve">绩效目标：进一步提高刑事申诉案件审查、移转效率，严格遵守法定程序和期限审查刑事申诉案件，做到因案分流，繁案精办，简案快办，规范有序；“群众来信件件有回复”工作能力和水平整体增强；国家司法救助工作进一步完善，扩大国家司法救助覆盖面。 </w:t>
      </w:r>
    </w:p>
    <w:p>
      <w:pPr>
        <w:pStyle w:val="24"/>
        <w:keepNext w:val="0"/>
        <w:keepLines w:val="0"/>
        <w:pageBreakBefore w:val="0"/>
        <w:widowControl w:val="0"/>
        <w:kinsoku/>
        <w:wordWrap/>
        <w:overflowPunct/>
        <w:topLinePunct w:val="0"/>
        <w:autoSpaceDE/>
        <w:autoSpaceDN/>
        <w:bidi w:val="0"/>
        <w:adjustRightInd/>
        <w:snapToGrid/>
        <w:spacing w:line="560" w:lineRule="exact"/>
        <w:jc w:val="both"/>
        <w:textAlignment w:val="auto"/>
      </w:pPr>
      <w:r>
        <w:rPr>
          <w:rFonts w:hint="eastAsia"/>
          <w:lang w:val="en-US" w:eastAsia="zh-CN"/>
        </w:rPr>
        <w:t>11.</w:t>
      </w:r>
      <w:r>
        <w:t>当好参谋助手，优化政务保障</w:t>
      </w:r>
    </w:p>
    <w:p>
      <w:pPr>
        <w:pStyle w:val="24"/>
        <w:keepNext w:val="0"/>
        <w:keepLines w:val="0"/>
        <w:pageBreakBefore w:val="0"/>
        <w:widowControl w:val="0"/>
        <w:kinsoku/>
        <w:wordWrap/>
        <w:overflowPunct/>
        <w:topLinePunct w:val="0"/>
        <w:autoSpaceDE/>
        <w:autoSpaceDN/>
        <w:bidi w:val="0"/>
        <w:adjustRightInd/>
        <w:snapToGrid/>
        <w:spacing w:line="560" w:lineRule="exact"/>
        <w:jc w:val="both"/>
        <w:textAlignment w:val="auto"/>
      </w:pPr>
      <w:r>
        <w:t>绩效目标：以文辅政、参谋助手能力整体增强，会务保障水平显著提高，值班效率提升，督查效果明显，文件办理效率和规范化水平进一步提高，</w:t>
      </w:r>
      <w:r>
        <w:rPr>
          <w:rFonts w:hint="eastAsia"/>
          <w:lang w:eastAsia="zh-CN"/>
        </w:rPr>
        <w:t>加快推进档案数字化建设</w:t>
      </w:r>
      <w:r>
        <w:t>，外事工作办理程序规范、周全圆满，代表委员联络工作实现更精更细更实。</w:t>
      </w:r>
    </w:p>
    <w:p>
      <w:pPr>
        <w:pStyle w:val="24"/>
        <w:keepNext w:val="0"/>
        <w:keepLines w:val="0"/>
        <w:pageBreakBefore w:val="0"/>
        <w:widowControl w:val="0"/>
        <w:kinsoku/>
        <w:wordWrap/>
        <w:overflowPunct/>
        <w:topLinePunct w:val="0"/>
        <w:autoSpaceDE/>
        <w:autoSpaceDN/>
        <w:bidi w:val="0"/>
        <w:adjustRightInd/>
        <w:snapToGrid/>
        <w:spacing w:line="560" w:lineRule="exact"/>
        <w:jc w:val="both"/>
        <w:textAlignment w:val="auto"/>
      </w:pPr>
      <w:r>
        <w:rPr>
          <w:rFonts w:hint="eastAsia"/>
          <w:lang w:val="en-US" w:eastAsia="zh-CN"/>
        </w:rPr>
        <w:t>12.</w:t>
      </w:r>
      <w:r>
        <w:t>干部人事管理水平进一步加强</w:t>
      </w:r>
    </w:p>
    <w:p>
      <w:pPr>
        <w:pStyle w:val="24"/>
        <w:keepNext w:val="0"/>
        <w:keepLines w:val="0"/>
        <w:pageBreakBefore w:val="0"/>
        <w:widowControl w:val="0"/>
        <w:kinsoku/>
        <w:wordWrap/>
        <w:overflowPunct/>
        <w:topLinePunct w:val="0"/>
        <w:autoSpaceDE/>
        <w:autoSpaceDN/>
        <w:bidi w:val="0"/>
        <w:adjustRightInd/>
        <w:snapToGrid/>
        <w:spacing w:line="560" w:lineRule="exact"/>
        <w:jc w:val="both"/>
        <w:textAlignment w:val="auto"/>
      </w:pPr>
      <w:r>
        <w:t>绩效目标：积极推进司法体制改革相关工作，进一步加强人员分类管理，不断完善规范员额动态管理、检察人员选升晋升等工作，持续推动检察人员职业保障及配套工作。全面加强队伍建设，进一步做好雄安检察机关干部选拔任用、招录招聘、调配交流、职级调整、考核评价等工作，不断规范完善工资福利、档案考勤管理，持续强化干部监督管理。积极履行对下协管职责。</w:t>
      </w:r>
    </w:p>
    <w:p>
      <w:pPr>
        <w:pStyle w:val="24"/>
        <w:keepNext w:val="0"/>
        <w:keepLines w:val="0"/>
        <w:pageBreakBefore w:val="0"/>
        <w:widowControl w:val="0"/>
        <w:kinsoku/>
        <w:wordWrap/>
        <w:overflowPunct/>
        <w:topLinePunct w:val="0"/>
        <w:autoSpaceDE/>
        <w:autoSpaceDN/>
        <w:bidi w:val="0"/>
        <w:adjustRightInd/>
        <w:snapToGrid/>
        <w:spacing w:line="560" w:lineRule="exact"/>
        <w:jc w:val="both"/>
        <w:textAlignment w:val="auto"/>
      </w:pPr>
      <w:r>
        <w:rPr>
          <w:rFonts w:hint="eastAsia"/>
          <w:lang w:val="en-US" w:eastAsia="zh-CN"/>
        </w:rPr>
        <w:t>13.</w:t>
      </w:r>
      <w:r>
        <w:t>检察宣传能力整体增强</w:t>
      </w:r>
    </w:p>
    <w:p>
      <w:pPr>
        <w:pStyle w:val="24"/>
        <w:keepNext w:val="0"/>
        <w:keepLines w:val="0"/>
        <w:pageBreakBefore w:val="0"/>
        <w:widowControl w:val="0"/>
        <w:kinsoku/>
        <w:wordWrap/>
        <w:overflowPunct/>
        <w:topLinePunct w:val="0"/>
        <w:autoSpaceDE/>
        <w:autoSpaceDN/>
        <w:bidi w:val="0"/>
        <w:adjustRightInd/>
        <w:snapToGrid/>
        <w:spacing w:line="560" w:lineRule="exact"/>
        <w:jc w:val="both"/>
        <w:textAlignment w:val="auto"/>
      </w:pPr>
      <w:r>
        <w:t>绩效目标：加强检察机关意识形态建设；积极开展主题宣传和专项宣传，进一步提升检察公信力和群众满意度，规范新闻发布管理，拓展新闻宣传阵地；“三同步”工作机制正常运转，积极开展涉检舆情应对工作；检务公开网络平台安全平稳运行，积极为群众提供信息服务；加强新媒体平台建设，提升新媒体运维管理水平，扩大网络平台社会影响力；大力开展先进典型培树宣传；积极推动检察文化建设深入发展，活跃检察机关文化生活。</w:t>
      </w:r>
    </w:p>
    <w:p>
      <w:pPr>
        <w:pStyle w:val="24"/>
        <w:keepNext w:val="0"/>
        <w:keepLines w:val="0"/>
        <w:pageBreakBefore w:val="0"/>
        <w:widowControl w:val="0"/>
        <w:kinsoku/>
        <w:wordWrap/>
        <w:overflowPunct/>
        <w:topLinePunct w:val="0"/>
        <w:autoSpaceDE/>
        <w:autoSpaceDN/>
        <w:bidi w:val="0"/>
        <w:adjustRightInd/>
        <w:snapToGrid/>
        <w:spacing w:line="560" w:lineRule="exact"/>
        <w:jc w:val="both"/>
        <w:textAlignment w:val="auto"/>
      </w:pPr>
      <w:r>
        <w:rPr>
          <w:rFonts w:hint="eastAsia"/>
          <w:lang w:val="en-US" w:eastAsia="zh-CN"/>
        </w:rPr>
        <w:t>14.</w:t>
      </w:r>
      <w:r>
        <w:t>教育培训工作成效显著提高</w:t>
      </w:r>
    </w:p>
    <w:p>
      <w:pPr>
        <w:pStyle w:val="24"/>
        <w:keepNext w:val="0"/>
        <w:keepLines w:val="0"/>
        <w:pageBreakBefore w:val="0"/>
        <w:widowControl w:val="0"/>
        <w:kinsoku/>
        <w:wordWrap/>
        <w:overflowPunct/>
        <w:topLinePunct w:val="0"/>
        <w:autoSpaceDE/>
        <w:autoSpaceDN/>
        <w:bidi w:val="0"/>
        <w:adjustRightInd/>
        <w:snapToGrid/>
        <w:spacing w:line="560" w:lineRule="exact"/>
        <w:jc w:val="both"/>
        <w:textAlignment w:val="auto"/>
      </w:pPr>
      <w:r>
        <w:t>绩效目标：科学、合理、统一、规范安排各类培训，不断将政治培训融入业务培训之中，培训的针对性和实效性得到进一步提升，培训形式不断完善，培训质量进一步提高，积极培养业务专家和兼职教师在检察工作中的高端引领作用得到进一步凸现，采取请进来、走出去等办法，拓展一批精品课程，领导干部上讲台成为常态化。</w:t>
      </w:r>
    </w:p>
    <w:p>
      <w:pPr>
        <w:pStyle w:val="24"/>
        <w:keepNext w:val="0"/>
        <w:keepLines w:val="0"/>
        <w:pageBreakBefore w:val="0"/>
        <w:widowControl w:val="0"/>
        <w:kinsoku/>
        <w:wordWrap/>
        <w:overflowPunct/>
        <w:topLinePunct w:val="0"/>
        <w:autoSpaceDE/>
        <w:autoSpaceDN/>
        <w:bidi w:val="0"/>
        <w:adjustRightInd/>
        <w:snapToGrid/>
        <w:spacing w:line="560" w:lineRule="exact"/>
        <w:jc w:val="both"/>
        <w:textAlignment w:val="auto"/>
      </w:pPr>
      <w:r>
        <w:rPr>
          <w:rFonts w:hint="eastAsia"/>
          <w:lang w:val="en-US" w:eastAsia="zh-CN"/>
        </w:rPr>
        <w:t>15.</w:t>
      </w:r>
      <w:r>
        <w:t>基层检察院建设水平进一步提升</w:t>
      </w:r>
    </w:p>
    <w:p>
      <w:pPr>
        <w:pStyle w:val="24"/>
        <w:keepNext w:val="0"/>
        <w:keepLines w:val="0"/>
        <w:pageBreakBefore w:val="0"/>
        <w:widowControl w:val="0"/>
        <w:kinsoku/>
        <w:wordWrap/>
        <w:overflowPunct/>
        <w:topLinePunct w:val="0"/>
        <w:autoSpaceDE/>
        <w:autoSpaceDN/>
        <w:bidi w:val="0"/>
        <w:adjustRightInd/>
        <w:snapToGrid/>
        <w:spacing w:line="560" w:lineRule="exact"/>
        <w:jc w:val="both"/>
        <w:textAlignment w:val="auto"/>
      </w:pPr>
      <w:r>
        <w:t>绩效目标：提升基层检察院执行力、专业化水平和政治功能，推进基层检察院建设转型升级、创新发展；健全完善院领导定点联系指导基层制度，推动基层建设任务落地落实；组织基层检察院建设实地观摩，提升基层检察院检察长的能力素质。</w:t>
      </w:r>
    </w:p>
    <w:p>
      <w:pPr>
        <w:pStyle w:val="24"/>
        <w:keepNext w:val="0"/>
        <w:keepLines w:val="0"/>
        <w:pageBreakBefore w:val="0"/>
        <w:widowControl w:val="0"/>
        <w:kinsoku/>
        <w:wordWrap/>
        <w:overflowPunct/>
        <w:topLinePunct w:val="0"/>
        <w:autoSpaceDE/>
        <w:autoSpaceDN/>
        <w:bidi w:val="0"/>
        <w:adjustRightInd/>
        <w:snapToGrid/>
        <w:spacing w:line="560" w:lineRule="exact"/>
        <w:jc w:val="both"/>
        <w:textAlignment w:val="auto"/>
      </w:pPr>
      <w:r>
        <w:rPr>
          <w:rFonts w:hint="eastAsia"/>
          <w:lang w:val="en-US" w:eastAsia="zh-CN"/>
        </w:rPr>
        <w:t>16.</w:t>
      </w:r>
      <w:r>
        <w:t>检察理论研究工作整体增强</w:t>
      </w:r>
    </w:p>
    <w:p>
      <w:pPr>
        <w:pStyle w:val="24"/>
        <w:keepNext w:val="0"/>
        <w:keepLines w:val="0"/>
        <w:pageBreakBefore w:val="0"/>
        <w:widowControl w:val="0"/>
        <w:kinsoku/>
        <w:wordWrap/>
        <w:overflowPunct/>
        <w:topLinePunct w:val="0"/>
        <w:autoSpaceDE/>
        <w:autoSpaceDN/>
        <w:bidi w:val="0"/>
        <w:adjustRightInd/>
        <w:snapToGrid/>
        <w:spacing w:line="560" w:lineRule="exact"/>
        <w:jc w:val="both"/>
        <w:textAlignment w:val="auto"/>
      </w:pPr>
      <w:r>
        <w:t>绩效目标：加强调研机制建设和研究队伍建设，构建全员参与的大调研工作机制。以检委会信息化建设为契机，进一步规范检委会工作，用好专家人才库提供外脑智力支持。积极落实省院对检答网等省院定期通报方面工作的要求。</w:t>
      </w:r>
    </w:p>
    <w:p>
      <w:pPr>
        <w:pStyle w:val="24"/>
        <w:keepNext w:val="0"/>
        <w:keepLines w:val="0"/>
        <w:pageBreakBefore w:val="0"/>
        <w:widowControl w:val="0"/>
        <w:kinsoku/>
        <w:wordWrap/>
        <w:overflowPunct/>
        <w:topLinePunct w:val="0"/>
        <w:autoSpaceDE/>
        <w:autoSpaceDN/>
        <w:bidi w:val="0"/>
        <w:adjustRightInd/>
        <w:snapToGrid/>
        <w:spacing w:line="560" w:lineRule="exact"/>
        <w:jc w:val="both"/>
        <w:textAlignment w:val="auto"/>
      </w:pPr>
      <w:r>
        <w:rPr>
          <w:rFonts w:hint="eastAsia"/>
          <w:lang w:val="en-US" w:eastAsia="zh-CN"/>
        </w:rPr>
        <w:t>17.</w:t>
      </w:r>
      <w:r>
        <w:t>案管监督、管理业务工作水平提升</w:t>
      </w:r>
    </w:p>
    <w:p>
      <w:pPr>
        <w:pStyle w:val="24"/>
        <w:keepNext w:val="0"/>
        <w:keepLines w:val="0"/>
        <w:pageBreakBefore w:val="0"/>
        <w:widowControl w:val="0"/>
        <w:kinsoku/>
        <w:wordWrap/>
        <w:overflowPunct/>
        <w:topLinePunct w:val="0"/>
        <w:autoSpaceDE/>
        <w:autoSpaceDN/>
        <w:bidi w:val="0"/>
        <w:adjustRightInd/>
        <w:snapToGrid/>
        <w:spacing w:line="560" w:lineRule="exact"/>
        <w:jc w:val="both"/>
        <w:textAlignment w:val="auto"/>
      </w:pPr>
      <w:r>
        <w:t xml:space="preserve">绩效目标：接收、录入并及时分配各类案件；接待律师咨询、阅卷等各类工作，保障律师权益正确行使；定期评查案件，使新区案件质量整体进一步提高，加强统一业务应用系统的规范使用和深度应用，做好案件流程监控工作，提高案件整体质量；开展业务数据分析研判工作，为检察决策和业务开展提供参考依据；提升案件信息公开工作的整体水平；组织做好人民监督员监督工作；确保涉案财物按规定随案移交，妥善保管。 </w:t>
      </w:r>
    </w:p>
    <w:p>
      <w:pPr>
        <w:pStyle w:val="24"/>
        <w:keepNext w:val="0"/>
        <w:keepLines w:val="0"/>
        <w:pageBreakBefore w:val="0"/>
        <w:widowControl w:val="0"/>
        <w:kinsoku/>
        <w:wordWrap/>
        <w:overflowPunct/>
        <w:topLinePunct w:val="0"/>
        <w:autoSpaceDE/>
        <w:autoSpaceDN/>
        <w:bidi w:val="0"/>
        <w:adjustRightInd/>
        <w:snapToGrid/>
        <w:spacing w:line="560" w:lineRule="exact"/>
        <w:jc w:val="both"/>
        <w:textAlignment w:val="auto"/>
      </w:pPr>
      <w:r>
        <w:rPr>
          <w:rFonts w:hint="eastAsia"/>
          <w:lang w:val="en-US" w:eastAsia="zh-CN"/>
        </w:rPr>
        <w:t>18.</w:t>
      </w:r>
      <w:r>
        <w:t xml:space="preserve">构建检察权运行新型监督制约机制  </w:t>
      </w:r>
    </w:p>
    <w:p>
      <w:pPr>
        <w:pStyle w:val="24"/>
        <w:keepNext w:val="0"/>
        <w:keepLines w:val="0"/>
        <w:pageBreakBefore w:val="0"/>
        <w:widowControl w:val="0"/>
        <w:kinsoku/>
        <w:wordWrap/>
        <w:overflowPunct/>
        <w:topLinePunct w:val="0"/>
        <w:autoSpaceDE/>
        <w:autoSpaceDN/>
        <w:bidi w:val="0"/>
        <w:adjustRightInd/>
        <w:snapToGrid/>
        <w:spacing w:line="560" w:lineRule="exact"/>
        <w:jc w:val="both"/>
        <w:textAlignment w:val="auto"/>
      </w:pPr>
      <w:r>
        <w:t xml:space="preserve">绩效目标：建立系统内巡察、内部审计、检察官惩戒、司法责任追究、廉政风险防控等工作机制，强化对检察机关及其工作人员执行法律法规情况的督察，对检察人员在司法办案中履行职责、行使职权情况进行监督纠错、督促整改，从而强化对检察权运行的监督制约，保证检察机关和检察人员依法履职、公正司法。     </w:t>
      </w:r>
    </w:p>
    <w:p>
      <w:pPr>
        <w:pStyle w:val="24"/>
        <w:keepNext w:val="0"/>
        <w:keepLines w:val="0"/>
        <w:pageBreakBefore w:val="0"/>
        <w:widowControl w:val="0"/>
        <w:kinsoku/>
        <w:wordWrap/>
        <w:overflowPunct/>
        <w:topLinePunct w:val="0"/>
        <w:autoSpaceDE/>
        <w:autoSpaceDN/>
        <w:bidi w:val="0"/>
        <w:adjustRightInd/>
        <w:snapToGrid/>
        <w:spacing w:line="560" w:lineRule="exact"/>
        <w:jc w:val="both"/>
        <w:textAlignment w:val="auto"/>
      </w:pPr>
      <w:r>
        <w:rPr>
          <w:rFonts w:hint="eastAsia"/>
          <w:lang w:val="en-US" w:eastAsia="zh-CN"/>
        </w:rPr>
        <w:t>19.</w:t>
      </w:r>
      <w:r>
        <w:t>提升</w:t>
      </w:r>
      <w:r>
        <w:rPr>
          <w:rFonts w:hint="eastAsia"/>
          <w:lang w:eastAsia="zh-CN"/>
        </w:rPr>
        <w:t>检察技术工作质效和检察信息化支撑检察业务能力</w:t>
      </w:r>
    </w:p>
    <w:p>
      <w:pPr>
        <w:pStyle w:val="24"/>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lang w:eastAsia="zh-CN"/>
        </w:rPr>
      </w:pPr>
      <w:r>
        <w:t>绩效目标：</w:t>
      </w:r>
      <w:r>
        <w:rPr>
          <w:rFonts w:hint="eastAsia"/>
          <w:lang w:eastAsia="zh-CN"/>
        </w:rPr>
        <w:t>统筹做好新区两级检察机关技术类案件办理，为新区两级检察机关一体化办案提供权威、高效、标准的电子证据、司法会计、公益诉讼等门类的检察技术支撑。</w:t>
      </w:r>
    </w:p>
    <w:p>
      <w:pPr>
        <w:pStyle w:val="24"/>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lang w:eastAsia="zh-CN"/>
        </w:rPr>
      </w:pPr>
      <w:r>
        <w:rPr>
          <w:rFonts w:hint="eastAsia"/>
          <w:lang w:eastAsia="zh-CN"/>
        </w:rPr>
        <w:t>统筹做好新区两级检察机关信息化建设、应用和管理，推进数字检察和新区数字城市的融合，确保网络安全，完成年度信息化建设任务，提升服务检察业务的能力。</w:t>
      </w:r>
    </w:p>
    <w:p>
      <w:pPr>
        <w:pStyle w:val="24"/>
        <w:keepNext w:val="0"/>
        <w:keepLines w:val="0"/>
        <w:pageBreakBefore w:val="0"/>
        <w:widowControl w:val="0"/>
        <w:kinsoku/>
        <w:wordWrap/>
        <w:overflowPunct/>
        <w:topLinePunct w:val="0"/>
        <w:autoSpaceDE/>
        <w:autoSpaceDN/>
        <w:bidi w:val="0"/>
        <w:adjustRightInd/>
        <w:snapToGrid/>
        <w:spacing w:line="560" w:lineRule="exact"/>
        <w:jc w:val="both"/>
        <w:textAlignment w:val="auto"/>
      </w:pPr>
      <w:r>
        <w:rPr>
          <w:rFonts w:hint="eastAsia"/>
          <w:lang w:val="en-US" w:eastAsia="zh-CN"/>
        </w:rPr>
        <w:t>20.</w:t>
      </w:r>
      <w:r>
        <w:t>严格认真履职确保办案安全</w:t>
      </w:r>
    </w:p>
    <w:p>
      <w:pPr>
        <w:pStyle w:val="24"/>
        <w:keepNext w:val="0"/>
        <w:keepLines w:val="0"/>
        <w:pageBreakBefore w:val="0"/>
        <w:widowControl w:val="0"/>
        <w:kinsoku/>
        <w:wordWrap/>
        <w:overflowPunct/>
        <w:topLinePunct w:val="0"/>
        <w:autoSpaceDE/>
        <w:autoSpaceDN/>
        <w:bidi w:val="0"/>
        <w:adjustRightInd/>
        <w:snapToGrid/>
        <w:spacing w:line="560" w:lineRule="exact"/>
        <w:jc w:val="both"/>
        <w:textAlignment w:val="auto"/>
      </w:pPr>
      <w:r>
        <w:t>绩效目标：拓展法警履职空间，主动融入公益诉讼，协助远程提审，公开审查、宣告等新增检察业务，参与职务犯罪自行侦查、刑事案件自行补充侦查、提审、对监管场所巡回检察等工作，探索协助侦查监督提前介入、民行息诉工作、保护重大案件中检察人员和证人安全、协助刑事执行申诉案件的调查取证等工作，把警务保障做强做实。</w:t>
      </w:r>
    </w:p>
    <w:p>
      <w:pPr>
        <w:pStyle w:val="24"/>
        <w:keepNext w:val="0"/>
        <w:keepLines w:val="0"/>
        <w:pageBreakBefore w:val="0"/>
        <w:widowControl w:val="0"/>
        <w:kinsoku/>
        <w:wordWrap/>
        <w:overflowPunct/>
        <w:topLinePunct w:val="0"/>
        <w:autoSpaceDE/>
        <w:autoSpaceDN/>
        <w:bidi w:val="0"/>
        <w:adjustRightInd/>
        <w:snapToGrid/>
        <w:spacing w:line="560" w:lineRule="exact"/>
        <w:jc w:val="both"/>
        <w:textAlignment w:val="auto"/>
      </w:pPr>
      <w:r>
        <w:rPr>
          <w:rFonts w:hint="eastAsia"/>
          <w:lang w:val="en-US" w:eastAsia="zh-CN"/>
        </w:rPr>
        <w:t>21.</w:t>
      </w:r>
      <w:r>
        <w:t>检务保障水平和能力整体增强</w:t>
      </w:r>
    </w:p>
    <w:p>
      <w:pPr>
        <w:pStyle w:val="24"/>
        <w:keepNext w:val="0"/>
        <w:keepLines w:val="0"/>
        <w:pageBreakBefore w:val="0"/>
        <w:widowControl w:val="0"/>
        <w:kinsoku/>
        <w:wordWrap/>
        <w:overflowPunct/>
        <w:topLinePunct w:val="0"/>
        <w:autoSpaceDE/>
        <w:autoSpaceDN/>
        <w:bidi w:val="0"/>
        <w:adjustRightInd/>
        <w:snapToGrid/>
        <w:spacing w:line="560" w:lineRule="exact"/>
        <w:jc w:val="both"/>
        <w:textAlignment w:val="auto"/>
      </w:pPr>
      <w:r>
        <w:t>绩效目标：科学合理编制部门预决算；做好机关财务管理、国有资产管理、政府采购、公务接待、后勤服务等工作；</w:t>
      </w:r>
      <w:r>
        <w:rPr>
          <w:rFonts w:hint="eastAsia"/>
          <w:lang w:eastAsia="zh-CN"/>
        </w:rPr>
        <w:t>加快推进数字化管理，</w:t>
      </w:r>
      <w:r>
        <w:t>指导新区检察机关检务保障工作。</w:t>
      </w:r>
    </w:p>
    <w:p>
      <w:pPr>
        <w:pStyle w:val="24"/>
        <w:keepNext w:val="0"/>
        <w:keepLines w:val="0"/>
        <w:pageBreakBefore w:val="0"/>
        <w:widowControl w:val="0"/>
        <w:kinsoku/>
        <w:wordWrap/>
        <w:overflowPunct/>
        <w:topLinePunct w:val="0"/>
        <w:autoSpaceDE/>
        <w:autoSpaceDN/>
        <w:bidi w:val="0"/>
        <w:adjustRightInd/>
        <w:snapToGrid/>
        <w:spacing w:line="560" w:lineRule="exact"/>
        <w:jc w:val="both"/>
        <w:textAlignment w:val="auto"/>
      </w:pPr>
      <w:r>
        <w:rPr>
          <w:rFonts w:hint="eastAsia"/>
          <w:lang w:val="en-US" w:eastAsia="zh-CN"/>
        </w:rPr>
        <w:t>22.</w:t>
      </w:r>
      <w:r>
        <w:t>检察教育培训的主渠道和主阵地作用进一步增强</w:t>
      </w:r>
    </w:p>
    <w:p>
      <w:pPr>
        <w:pStyle w:val="24"/>
        <w:keepNext w:val="0"/>
        <w:keepLines w:val="0"/>
        <w:pageBreakBefore w:val="0"/>
        <w:widowControl w:val="0"/>
        <w:kinsoku/>
        <w:wordWrap/>
        <w:overflowPunct/>
        <w:topLinePunct w:val="0"/>
        <w:autoSpaceDE/>
        <w:autoSpaceDN/>
        <w:bidi w:val="0"/>
        <w:adjustRightInd/>
        <w:snapToGrid/>
        <w:spacing w:line="560" w:lineRule="exact"/>
        <w:jc w:val="both"/>
        <w:textAlignment w:val="auto"/>
      </w:pPr>
      <w:r>
        <w:t>绩效目标：以政治理论教育、政策法规教育为重点，注重业务知识培训和科学人文素养教育；发挥信息化建设服务教学、服务科研、服务保障的功能，确保教学保障能力充分适应深入推进实战化培训需求；强化按章办事意识能力，加大工作监督落实力度，提高工作执行力。</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5"/>
        <w:keepNext w:val="0"/>
        <w:keepLines w:val="0"/>
        <w:pageBreakBefore w:val="0"/>
        <w:widowControl w:val="0"/>
        <w:kinsoku/>
        <w:wordWrap/>
        <w:overflowPunct/>
        <w:topLinePunct w:val="0"/>
        <w:autoSpaceDE/>
        <w:autoSpaceDN/>
        <w:bidi w:val="0"/>
        <w:adjustRightInd/>
        <w:snapToGrid/>
        <w:spacing w:line="560" w:lineRule="exact"/>
        <w:jc w:val="both"/>
        <w:textAlignment w:val="auto"/>
      </w:pPr>
      <w:r>
        <w:t>为实现我院年度绩效目标，我院将采取有效措施，做好预判，控制偏差，切实提高预算绩效管理水平，保证绩效目标如期实现。</w:t>
      </w:r>
    </w:p>
    <w:p>
      <w:pPr>
        <w:pStyle w:val="25"/>
        <w:keepNext w:val="0"/>
        <w:keepLines w:val="0"/>
        <w:pageBreakBefore w:val="0"/>
        <w:widowControl w:val="0"/>
        <w:kinsoku/>
        <w:wordWrap/>
        <w:overflowPunct/>
        <w:topLinePunct w:val="0"/>
        <w:autoSpaceDE/>
        <w:autoSpaceDN/>
        <w:bidi w:val="0"/>
        <w:adjustRightInd/>
        <w:snapToGrid/>
        <w:spacing w:line="560" w:lineRule="exact"/>
        <w:jc w:val="both"/>
        <w:textAlignment w:val="auto"/>
      </w:pPr>
      <w:r>
        <w:rPr>
          <w:rFonts w:hint="eastAsia"/>
          <w:lang w:val="en-US" w:eastAsia="zh-CN"/>
        </w:rPr>
        <w:t>1.</w:t>
      </w:r>
      <w:r>
        <w:t>加强组织领导。高度重视预算绩效管理工作，加强对预算绩效管理的组织领导，切实转变思想观念，牢固树立预算意识，理顺内部工作机制，精心组织，扎实推进，及时研究预算执行过程中出现的问题，督促指导有关政策措施的落实，确保绩效目标顺利实现。</w:t>
      </w:r>
    </w:p>
    <w:p>
      <w:pPr>
        <w:pStyle w:val="25"/>
        <w:keepNext w:val="0"/>
        <w:keepLines w:val="0"/>
        <w:pageBreakBefore w:val="0"/>
        <w:widowControl w:val="0"/>
        <w:kinsoku/>
        <w:wordWrap/>
        <w:overflowPunct/>
        <w:topLinePunct w:val="0"/>
        <w:autoSpaceDE/>
        <w:autoSpaceDN/>
        <w:bidi w:val="0"/>
        <w:adjustRightInd/>
        <w:snapToGrid/>
        <w:spacing w:line="560" w:lineRule="exact"/>
        <w:jc w:val="both"/>
        <w:textAlignment w:val="auto"/>
      </w:pPr>
      <w:r>
        <w:rPr>
          <w:rFonts w:hint="eastAsia"/>
          <w:lang w:val="en-US" w:eastAsia="zh-CN"/>
        </w:rPr>
        <w:t>2.</w:t>
      </w:r>
      <w:r>
        <w:t>健全制度体系。根据预算绩效管理有关规定，以及各项财政政策要求，及时补充、修改、完善我院预算管理制度体系。狠抓制度落实，坚持按制度办事，规范预算资金管理程序。</w:t>
      </w:r>
    </w:p>
    <w:p>
      <w:pPr>
        <w:pStyle w:val="25"/>
        <w:keepNext w:val="0"/>
        <w:keepLines w:val="0"/>
        <w:pageBreakBefore w:val="0"/>
        <w:widowControl w:val="0"/>
        <w:kinsoku/>
        <w:wordWrap/>
        <w:overflowPunct/>
        <w:topLinePunct w:val="0"/>
        <w:autoSpaceDE/>
        <w:autoSpaceDN/>
        <w:bidi w:val="0"/>
        <w:adjustRightInd/>
        <w:snapToGrid/>
        <w:spacing w:line="560" w:lineRule="exact"/>
        <w:jc w:val="both"/>
        <w:textAlignment w:val="auto"/>
      </w:pPr>
      <w:r>
        <w:rPr>
          <w:rFonts w:hint="eastAsia"/>
          <w:lang w:val="en-US" w:eastAsia="zh-CN"/>
        </w:rPr>
        <w:t>3.</w:t>
      </w:r>
      <w:r>
        <w:t>重视过程管理。按要求开展绩效运行监控，对绩效目标实现程度和预算执行进度进行“双监控”，切实加强预算项目事前绩效评估，充分论证项目必要性，完善项目决策机制，提高年初预算科学性；抓好预算执行过程控制，采取有效措施，加强项目调度，加快项目实施，提高财政资金使用效率；按要求做好绩效自评工作，调整优化绩效管理体系，不断提高资金使用效益。</w:t>
      </w:r>
    </w:p>
    <w:p>
      <w:pPr>
        <w:pStyle w:val="25"/>
        <w:keepNext w:val="0"/>
        <w:keepLines w:val="0"/>
        <w:pageBreakBefore w:val="0"/>
        <w:widowControl w:val="0"/>
        <w:kinsoku/>
        <w:wordWrap/>
        <w:overflowPunct/>
        <w:topLinePunct w:val="0"/>
        <w:autoSpaceDE/>
        <w:autoSpaceDN/>
        <w:bidi w:val="0"/>
        <w:adjustRightInd/>
        <w:snapToGrid/>
        <w:spacing w:line="560" w:lineRule="exact"/>
        <w:jc w:val="both"/>
        <w:textAlignment w:val="auto"/>
      </w:pPr>
      <w:r>
        <w:rPr>
          <w:rFonts w:hint="eastAsia"/>
          <w:lang w:val="en-US" w:eastAsia="zh-CN"/>
        </w:rPr>
        <w:t>4.</w:t>
      </w:r>
      <w:r>
        <w:t>加强内外部监督。充分发挥内部监督作用，对预算绩效运行情况、重大支出事项、重大项目建设等其他重要经济业务的决策和执行进行监督；配合做好巡视、审计、财政监督等外部监督工作；依法进行预决算公开，接受社会公众监督，确保财政资金安全有效。</w:t>
      </w:r>
    </w:p>
    <w:p>
      <w:pPr>
        <w:pStyle w:val="25"/>
        <w:keepNext w:val="0"/>
        <w:keepLines w:val="0"/>
        <w:pageBreakBefore w:val="0"/>
        <w:widowControl w:val="0"/>
        <w:kinsoku/>
        <w:wordWrap/>
        <w:overflowPunct/>
        <w:topLinePunct w:val="0"/>
        <w:autoSpaceDE/>
        <w:autoSpaceDN/>
        <w:bidi w:val="0"/>
        <w:adjustRightInd/>
        <w:snapToGrid/>
        <w:spacing w:line="560" w:lineRule="exact"/>
        <w:jc w:val="both"/>
        <w:textAlignment w:val="auto"/>
      </w:pPr>
      <w:r>
        <w:rPr>
          <w:rFonts w:hint="eastAsia"/>
          <w:lang w:val="en-US" w:eastAsia="zh-CN"/>
        </w:rPr>
        <w:t>5.</w:t>
      </w:r>
      <w:r>
        <w:t>强化宣传培训。充分利用各种渠道，广泛宣传预算绩效管理工作，使广大干警牢固树立绩效理念、熟悉绩效管理流程，提升绩效管理能力，促进绩效管理水平进一步提升。</w:t>
      </w:r>
    </w:p>
    <w:p>
      <w:pPr>
        <w:pStyle w:val="25"/>
      </w:pPr>
    </w:p>
    <w:p>
      <w:pPr>
        <w:spacing w:before="0" w:after="0" w:line="240" w:lineRule="auto"/>
        <w:ind w:firstLine="640"/>
        <w:jc w:val="left"/>
        <w:outlineLvl w:val="9"/>
        <w:sectPr>
          <w:pgSz w:w="16840" w:h="11900" w:orient="landscape"/>
          <w:pgMar w:top="1361" w:right="1020" w:bottom="1361" w:left="1020" w:header="720" w:footer="720" w:gutter="0"/>
        </w:sectPr>
      </w:pPr>
      <w:r>
        <w:rPr>
          <w:rFonts w:ascii="方正楷体_GBK" w:hAnsi="方正楷体_GBK" w:eastAsia="方正楷体_GBK" w:cs="方正楷体_GBK"/>
          <w:b/>
          <w:color w:val="000000"/>
          <w:sz w:val="32"/>
        </w:rPr>
        <w:t>第二部分  专项资金绩效目标</w:t>
      </w:r>
    </w:p>
    <w:p>
      <w:pPr>
        <w:spacing w:before="0" w:after="0" w:line="240" w:lineRule="auto"/>
        <w:ind w:firstLine="640"/>
        <w:jc w:val="left"/>
        <w:outlineLvl w:val="9"/>
        <w:sectPr>
          <w:pgSz w:w="16840" w:h="11900" w:orient="landscape"/>
          <w:pgMar w:top="1361" w:right="1020" w:bottom="1134" w:left="1020" w:header="720" w:footer="720" w:gutter="0"/>
        </w:sectPr>
      </w:pPr>
      <w:r>
        <w:rPr>
          <w:rFonts w:ascii="方正楷体_GBK" w:hAnsi="方正楷体_GBK" w:eastAsia="方正楷体_GBK" w:cs="方正楷体_GBK"/>
          <w:b/>
          <w:color w:val="000000"/>
          <w:sz w:val="32"/>
        </w:rPr>
        <w:t>第三部分  预算项目绩效目标</w:t>
      </w:r>
    </w:p>
    <w:p>
      <w:pPr>
        <w:spacing w:before="0" w:after="0"/>
        <w:ind w:firstLine="560"/>
        <w:jc w:val="left"/>
        <w:outlineLvl w:val="9"/>
      </w:pPr>
      <w:r>
        <w:rPr>
          <w:rFonts w:ascii="方正仿宋_GBK" w:hAnsi="方正仿宋_GBK" w:eastAsia="方正仿宋_GBK" w:cs="方正仿宋_GBK"/>
          <w:b/>
          <w:color w:val="000000"/>
          <w:sz w:val="28"/>
        </w:rPr>
        <w:t>1、“雄安新区行政执法与刑事司法衔接工作“专项经费绩效目标表</w:t>
      </w:r>
    </w:p>
    <w:tbl>
      <w:tblPr>
        <w:tblStyle w:val="6"/>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1.加强对“两法衔接”工作的培训、咨询，提高应用水平</w:t>
            </w:r>
          </w:p>
          <w:p>
            <w:pPr>
              <w:pStyle w:val="14"/>
            </w:pPr>
            <w:r>
              <w:t>2.加强“两法衔接”平台建设及推广应用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培训次数</w:t>
            </w:r>
          </w:p>
        </w:tc>
        <w:tc>
          <w:tcPr>
            <w:tcW w:w="2466" w:type="dxa"/>
            <w:vAlign w:val="center"/>
          </w:tcPr>
          <w:p>
            <w:pPr>
              <w:pStyle w:val="14"/>
            </w:pPr>
            <w:r>
              <w:t>培训次数</w:t>
            </w:r>
          </w:p>
        </w:tc>
        <w:tc>
          <w:tcPr>
            <w:tcW w:w="2466" w:type="dxa"/>
            <w:vAlign w:val="center"/>
          </w:tcPr>
          <w:p>
            <w:pPr>
              <w:pStyle w:val="14"/>
            </w:pPr>
            <w:r>
              <w:t>≥5</w:t>
            </w:r>
          </w:p>
        </w:tc>
        <w:tc>
          <w:tcPr>
            <w:tcW w:w="2466" w:type="dxa"/>
            <w:vAlign w:val="center"/>
          </w:tcPr>
          <w:p>
            <w:pPr>
              <w:pStyle w:val="14"/>
            </w:pPr>
            <w:r>
              <w:t>“两法衔接”平台建设方案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项目验收通过率（%）</w:t>
            </w:r>
          </w:p>
        </w:tc>
        <w:tc>
          <w:tcPr>
            <w:tcW w:w="2466" w:type="dxa"/>
            <w:vAlign w:val="center"/>
          </w:tcPr>
          <w:p>
            <w:pPr>
              <w:pStyle w:val="14"/>
            </w:pPr>
            <w:r>
              <w:t>项目验收通过率（%）</w:t>
            </w:r>
          </w:p>
        </w:tc>
        <w:tc>
          <w:tcPr>
            <w:tcW w:w="2466" w:type="dxa"/>
            <w:vAlign w:val="center"/>
          </w:tcPr>
          <w:p>
            <w:pPr>
              <w:pStyle w:val="14"/>
            </w:pPr>
            <w:r>
              <w:t>100</w:t>
            </w:r>
          </w:p>
        </w:tc>
        <w:tc>
          <w:tcPr>
            <w:tcW w:w="2466" w:type="dxa"/>
            <w:vAlign w:val="center"/>
          </w:tcPr>
          <w:p>
            <w:pPr>
              <w:pStyle w:val="14"/>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专项项目按期验收率（%）</w:t>
            </w:r>
          </w:p>
        </w:tc>
        <w:tc>
          <w:tcPr>
            <w:tcW w:w="2466" w:type="dxa"/>
            <w:vAlign w:val="center"/>
          </w:tcPr>
          <w:p>
            <w:pPr>
              <w:pStyle w:val="14"/>
            </w:pPr>
            <w:r>
              <w:t>专项项目按期验收率（%）</w:t>
            </w:r>
          </w:p>
        </w:tc>
        <w:tc>
          <w:tcPr>
            <w:tcW w:w="2466" w:type="dxa"/>
            <w:vAlign w:val="center"/>
          </w:tcPr>
          <w:p>
            <w:pPr>
              <w:pStyle w:val="14"/>
            </w:pPr>
            <w:r>
              <w:t>100</w:t>
            </w:r>
          </w:p>
        </w:tc>
        <w:tc>
          <w:tcPr>
            <w:tcW w:w="2466" w:type="dxa"/>
            <w:vAlign w:val="center"/>
          </w:tcPr>
          <w:p>
            <w:pPr>
              <w:pStyle w:val="14"/>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预算执行率（%）</w:t>
            </w:r>
          </w:p>
        </w:tc>
        <w:tc>
          <w:tcPr>
            <w:tcW w:w="2466" w:type="dxa"/>
            <w:vAlign w:val="center"/>
          </w:tcPr>
          <w:p>
            <w:pPr>
              <w:pStyle w:val="14"/>
            </w:pPr>
            <w:r>
              <w:t>预算执行率（%）</w:t>
            </w:r>
          </w:p>
        </w:tc>
        <w:tc>
          <w:tcPr>
            <w:tcW w:w="2466" w:type="dxa"/>
            <w:vAlign w:val="center"/>
          </w:tcPr>
          <w:p>
            <w:pPr>
              <w:pStyle w:val="14"/>
            </w:pPr>
            <w:r>
              <w:t>≥90</w:t>
            </w:r>
          </w:p>
        </w:tc>
        <w:tc>
          <w:tcPr>
            <w:tcW w:w="2466" w:type="dxa"/>
            <w:vAlign w:val="center"/>
          </w:tcPr>
          <w:p>
            <w:pPr>
              <w:pStyle w:val="14"/>
            </w:pPr>
            <w:r>
              <w:t>年终决算报告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业务开展保障率(%)</w:t>
            </w:r>
          </w:p>
        </w:tc>
        <w:tc>
          <w:tcPr>
            <w:tcW w:w="2466" w:type="dxa"/>
            <w:vAlign w:val="center"/>
          </w:tcPr>
          <w:p>
            <w:pPr>
              <w:pStyle w:val="14"/>
            </w:pPr>
            <w:r>
              <w:t>业务开展保障率(%)</w:t>
            </w:r>
          </w:p>
        </w:tc>
        <w:tc>
          <w:tcPr>
            <w:tcW w:w="2466" w:type="dxa"/>
            <w:vAlign w:val="center"/>
          </w:tcPr>
          <w:p>
            <w:pPr>
              <w:pStyle w:val="14"/>
            </w:pPr>
            <w:r>
              <w:t>≥90</w:t>
            </w:r>
          </w:p>
        </w:tc>
        <w:tc>
          <w:tcPr>
            <w:tcW w:w="2466" w:type="dxa"/>
            <w:vAlign w:val="center"/>
          </w:tcPr>
          <w:p>
            <w:pPr>
              <w:pStyle w:val="14"/>
            </w:pPr>
            <w:r>
              <w:t>年度工作总结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可持续性服务</w:t>
            </w:r>
          </w:p>
        </w:tc>
        <w:tc>
          <w:tcPr>
            <w:tcW w:w="2466" w:type="dxa"/>
            <w:vAlign w:val="center"/>
          </w:tcPr>
          <w:p>
            <w:pPr>
              <w:pStyle w:val="14"/>
            </w:pPr>
            <w:r>
              <w:t>可持续性服务</w:t>
            </w:r>
          </w:p>
        </w:tc>
        <w:tc>
          <w:tcPr>
            <w:tcW w:w="2466" w:type="dxa"/>
            <w:vAlign w:val="center"/>
          </w:tcPr>
          <w:p>
            <w:pPr>
              <w:pStyle w:val="14"/>
            </w:pPr>
            <w:r>
              <w:t>持续推进两法衔接工作</w:t>
            </w:r>
          </w:p>
        </w:tc>
        <w:tc>
          <w:tcPr>
            <w:tcW w:w="2466" w:type="dxa"/>
            <w:vAlign w:val="center"/>
          </w:tcPr>
          <w:p>
            <w:pPr>
              <w:pStyle w:val="14"/>
            </w:pPr>
            <w:r>
              <w:t>年度工作总结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服务对象满意度</w:t>
            </w:r>
          </w:p>
        </w:tc>
        <w:tc>
          <w:tcPr>
            <w:tcW w:w="2466" w:type="dxa"/>
            <w:vAlign w:val="center"/>
          </w:tcPr>
          <w:p>
            <w:pPr>
              <w:pStyle w:val="14"/>
            </w:pPr>
            <w:r>
              <w:t>服务对象满意度</w:t>
            </w:r>
          </w:p>
        </w:tc>
        <w:tc>
          <w:tcPr>
            <w:tcW w:w="2466" w:type="dxa"/>
            <w:vAlign w:val="center"/>
          </w:tcPr>
          <w:p>
            <w:pPr>
              <w:pStyle w:val="14"/>
            </w:pPr>
            <w:r>
              <w:t>≥90</w:t>
            </w:r>
          </w:p>
        </w:tc>
        <w:tc>
          <w:tcPr>
            <w:tcW w:w="2466" w:type="dxa"/>
            <w:vAlign w:val="center"/>
          </w:tcPr>
          <w:p>
            <w:pPr>
              <w:pStyle w:val="14"/>
            </w:pPr>
            <w:r>
              <w:t>河北省群众安全感和政法队伍满意度调查结果　</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2、检察专网涉密信息系统分级保护项目（尾款）绩效目标表</w:t>
      </w:r>
    </w:p>
    <w:tbl>
      <w:tblPr>
        <w:tblStyle w:val="6"/>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1.保障检察专网涉密信息系统分级保护项目顺利完成。</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设备购置数</w:t>
            </w:r>
          </w:p>
        </w:tc>
        <w:tc>
          <w:tcPr>
            <w:tcW w:w="2466" w:type="dxa"/>
            <w:vAlign w:val="center"/>
          </w:tcPr>
          <w:p>
            <w:pPr>
              <w:pStyle w:val="14"/>
            </w:pPr>
            <w:r>
              <w:t>按照规划完成设备购置</w:t>
            </w:r>
          </w:p>
        </w:tc>
        <w:tc>
          <w:tcPr>
            <w:tcW w:w="2466" w:type="dxa"/>
            <w:vAlign w:val="center"/>
          </w:tcPr>
          <w:p>
            <w:pPr>
              <w:pStyle w:val="14"/>
            </w:pPr>
            <w:r>
              <w:t>配置数量按照规划数量进行配置</w:t>
            </w:r>
          </w:p>
        </w:tc>
        <w:tc>
          <w:tcPr>
            <w:tcW w:w="2466" w:type="dxa"/>
            <w:vAlign w:val="center"/>
          </w:tcPr>
          <w:p>
            <w:pPr>
              <w:pStyle w:val="14"/>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设施、设备通过验收率</w:t>
            </w:r>
          </w:p>
        </w:tc>
        <w:tc>
          <w:tcPr>
            <w:tcW w:w="2466" w:type="dxa"/>
            <w:vAlign w:val="center"/>
          </w:tcPr>
          <w:p>
            <w:pPr>
              <w:pStyle w:val="14"/>
            </w:pPr>
            <w:r>
              <w:t>设备、设施验收通过率（%）</w:t>
            </w:r>
          </w:p>
        </w:tc>
        <w:tc>
          <w:tcPr>
            <w:tcW w:w="2466" w:type="dxa"/>
            <w:vAlign w:val="center"/>
          </w:tcPr>
          <w:p>
            <w:pPr>
              <w:pStyle w:val="14"/>
            </w:pPr>
            <w:r>
              <w:t>≥100</w:t>
            </w:r>
          </w:p>
        </w:tc>
        <w:tc>
          <w:tcPr>
            <w:tcW w:w="2466" w:type="dxa"/>
            <w:vAlign w:val="center"/>
          </w:tcPr>
          <w:p>
            <w:pPr>
              <w:pStyle w:val="14"/>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项目完成时间</w:t>
            </w:r>
          </w:p>
        </w:tc>
        <w:tc>
          <w:tcPr>
            <w:tcW w:w="2466" w:type="dxa"/>
            <w:vAlign w:val="center"/>
          </w:tcPr>
          <w:p>
            <w:pPr>
              <w:pStyle w:val="14"/>
            </w:pPr>
            <w:r>
              <w:t>项目开始施工到完成时间（月）</w:t>
            </w:r>
          </w:p>
        </w:tc>
        <w:tc>
          <w:tcPr>
            <w:tcW w:w="2466" w:type="dxa"/>
            <w:vAlign w:val="center"/>
          </w:tcPr>
          <w:p>
            <w:pPr>
              <w:pStyle w:val="14"/>
            </w:pPr>
            <w:r>
              <w:t>≤6</w:t>
            </w:r>
          </w:p>
        </w:tc>
        <w:tc>
          <w:tcPr>
            <w:tcW w:w="2466" w:type="dxa"/>
            <w:vAlign w:val="center"/>
          </w:tcPr>
          <w:p>
            <w:pPr>
              <w:pStyle w:val="14"/>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预算成本控制</w:t>
            </w:r>
          </w:p>
        </w:tc>
        <w:tc>
          <w:tcPr>
            <w:tcW w:w="2466" w:type="dxa"/>
            <w:vAlign w:val="center"/>
          </w:tcPr>
          <w:p>
            <w:pPr>
              <w:pStyle w:val="14"/>
            </w:pPr>
            <w:r>
              <w:t>严格控制成本，不超出项目预算数（万元）</w:t>
            </w:r>
          </w:p>
        </w:tc>
        <w:tc>
          <w:tcPr>
            <w:tcW w:w="2466" w:type="dxa"/>
            <w:vAlign w:val="center"/>
          </w:tcPr>
          <w:p>
            <w:pPr>
              <w:pStyle w:val="14"/>
            </w:pPr>
            <w:r>
              <w:t>≤1605.2</w:t>
            </w:r>
          </w:p>
        </w:tc>
        <w:tc>
          <w:tcPr>
            <w:tcW w:w="2466" w:type="dxa"/>
            <w:vAlign w:val="center"/>
          </w:tcPr>
          <w:p>
            <w:pPr>
              <w:pStyle w:val="14"/>
            </w:pPr>
            <w:r>
              <w:t>年终决算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资金使用率</w:t>
            </w:r>
          </w:p>
        </w:tc>
        <w:tc>
          <w:tcPr>
            <w:tcW w:w="2466" w:type="dxa"/>
            <w:vAlign w:val="center"/>
          </w:tcPr>
          <w:p>
            <w:pPr>
              <w:pStyle w:val="14"/>
            </w:pPr>
            <w:r>
              <w:t>资金使用效益（%）</w:t>
            </w:r>
          </w:p>
        </w:tc>
        <w:tc>
          <w:tcPr>
            <w:tcW w:w="2466" w:type="dxa"/>
            <w:vAlign w:val="center"/>
          </w:tcPr>
          <w:p>
            <w:pPr>
              <w:pStyle w:val="14"/>
            </w:pPr>
            <w:r>
              <w:t>≥90</w:t>
            </w:r>
          </w:p>
        </w:tc>
        <w:tc>
          <w:tcPr>
            <w:tcW w:w="2466" w:type="dxa"/>
            <w:vAlign w:val="center"/>
          </w:tcPr>
          <w:p>
            <w:pPr>
              <w:pStyle w:val="14"/>
            </w:pPr>
            <w:r>
              <w:t>年终决算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保障涉密工作</w:t>
            </w:r>
          </w:p>
        </w:tc>
        <w:tc>
          <w:tcPr>
            <w:tcW w:w="2466" w:type="dxa"/>
            <w:vAlign w:val="center"/>
          </w:tcPr>
          <w:p>
            <w:pPr>
              <w:pStyle w:val="14"/>
            </w:pPr>
            <w:r>
              <w:t>保障检察机关涉密工作</w:t>
            </w:r>
          </w:p>
        </w:tc>
        <w:tc>
          <w:tcPr>
            <w:tcW w:w="2466" w:type="dxa"/>
            <w:vAlign w:val="center"/>
          </w:tcPr>
          <w:p>
            <w:pPr>
              <w:pStyle w:val="14"/>
            </w:pPr>
            <w:r>
              <w:t>提高涉密信息保护能力，保障检察工作开展</w:t>
            </w:r>
          </w:p>
        </w:tc>
        <w:tc>
          <w:tcPr>
            <w:tcW w:w="2466" w:type="dxa"/>
            <w:vAlign w:val="center"/>
          </w:tcPr>
          <w:p>
            <w:pPr>
              <w:pStyle w:val="14"/>
            </w:pPr>
            <w:r>
              <w:t>年度工作总结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涉密负责人员满意度</w:t>
            </w:r>
          </w:p>
        </w:tc>
        <w:tc>
          <w:tcPr>
            <w:tcW w:w="2466" w:type="dxa"/>
            <w:vAlign w:val="center"/>
          </w:tcPr>
          <w:p>
            <w:pPr>
              <w:pStyle w:val="14"/>
            </w:pPr>
            <w:r>
              <w:t>负责涉密信息相关人员（%）</w:t>
            </w:r>
          </w:p>
        </w:tc>
        <w:tc>
          <w:tcPr>
            <w:tcW w:w="2466" w:type="dxa"/>
            <w:vAlign w:val="center"/>
          </w:tcPr>
          <w:p>
            <w:pPr>
              <w:pStyle w:val="14"/>
            </w:pPr>
            <w:r>
              <w:t>≥95</w:t>
            </w:r>
          </w:p>
        </w:tc>
        <w:tc>
          <w:tcPr>
            <w:tcW w:w="2466" w:type="dxa"/>
            <w:vAlign w:val="center"/>
          </w:tcPr>
          <w:p>
            <w:pPr>
              <w:pStyle w:val="14"/>
            </w:pPr>
            <w:r>
              <w:t>年度工作考核报告</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3、临时办公场所保障及办案业务费绩效目标表</w:t>
      </w:r>
    </w:p>
    <w:tbl>
      <w:tblPr>
        <w:tblStyle w:val="6"/>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1.通过购买物业、安保、食堂服务，提供安全、卫生的工作环境，实现机关有序稳定运转。　</w:t>
            </w:r>
            <w:r>
              <w:tab/>
            </w:r>
            <w:r>
              <w:tab/>
            </w:r>
            <w:r>
              <w:tab/>
            </w:r>
            <w:r>
              <w:tab/>
            </w:r>
            <w:r>
              <w:tab/>
            </w:r>
            <w:r>
              <w:tab/>
            </w:r>
          </w:p>
          <w:p>
            <w:pPr>
              <w:pStyle w:val="14"/>
            </w:pPr>
          </w:p>
          <w:p>
            <w:pPr>
              <w:pStyle w:val="14"/>
            </w:pPr>
            <w:r>
              <w:t>2.通过业务经费开支，充分履行检察职能，着力提高办案质效，推动四大检察工作全面协调充分发展，实现检察工作更上新台阶。　</w:t>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检察业务覆盖领域　</w:t>
            </w:r>
          </w:p>
        </w:tc>
        <w:tc>
          <w:tcPr>
            <w:tcW w:w="2466" w:type="dxa"/>
            <w:vAlign w:val="center"/>
          </w:tcPr>
          <w:p>
            <w:pPr>
              <w:pStyle w:val="14"/>
            </w:pPr>
            <w:r>
              <w:t>检察业务工作开展能覆盖种类数量</w:t>
            </w:r>
          </w:p>
        </w:tc>
        <w:tc>
          <w:tcPr>
            <w:tcW w:w="2466" w:type="dxa"/>
            <w:vAlign w:val="center"/>
          </w:tcPr>
          <w:p>
            <w:pPr>
              <w:pStyle w:val="14"/>
            </w:pPr>
            <w:r>
              <w:t>4协同推进四大检察</w:t>
            </w:r>
          </w:p>
        </w:tc>
        <w:tc>
          <w:tcPr>
            <w:tcW w:w="2466" w:type="dxa"/>
            <w:vAlign w:val="center"/>
          </w:tcPr>
          <w:p>
            <w:pPr>
              <w:pStyle w:val="14"/>
            </w:pPr>
            <w:r>
              <w:t>《中华人民共和国刑事诉讼法》、《中华人民共和国民事诉讼法》、《人民检察院组织法》、年度工作总结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案件合格率　</w:t>
            </w:r>
          </w:p>
        </w:tc>
        <w:tc>
          <w:tcPr>
            <w:tcW w:w="2466" w:type="dxa"/>
            <w:vAlign w:val="center"/>
          </w:tcPr>
          <w:p>
            <w:pPr>
              <w:pStyle w:val="14"/>
            </w:pPr>
            <w:r>
              <w:t>案件合格率（%）　</w:t>
            </w:r>
          </w:p>
        </w:tc>
        <w:tc>
          <w:tcPr>
            <w:tcW w:w="2466" w:type="dxa"/>
            <w:vAlign w:val="center"/>
          </w:tcPr>
          <w:p>
            <w:pPr>
              <w:pStyle w:val="14"/>
            </w:pPr>
            <w:r>
              <w:t>≥85案件符合评查标准率应大于85%</w:t>
            </w:r>
          </w:p>
        </w:tc>
        <w:tc>
          <w:tcPr>
            <w:tcW w:w="2466" w:type="dxa"/>
            <w:vAlign w:val="center"/>
          </w:tcPr>
          <w:p>
            <w:pPr>
              <w:pStyle w:val="14"/>
            </w:pPr>
            <w:r>
              <w:t>　《中华人民共和国刑事诉讼法》、《中华人民共和国民事诉讼法》、《人民检察院组织法》、年度工作总结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案件及时办结率</w:t>
            </w:r>
          </w:p>
        </w:tc>
        <w:tc>
          <w:tcPr>
            <w:tcW w:w="2466" w:type="dxa"/>
            <w:vAlign w:val="center"/>
          </w:tcPr>
          <w:p>
            <w:pPr>
              <w:pStyle w:val="14"/>
            </w:pPr>
            <w:r>
              <w:t>及时办结案件占收案数量比例（%）</w:t>
            </w:r>
          </w:p>
        </w:tc>
        <w:tc>
          <w:tcPr>
            <w:tcW w:w="2466" w:type="dxa"/>
            <w:vAlign w:val="center"/>
          </w:tcPr>
          <w:p>
            <w:pPr>
              <w:pStyle w:val="14"/>
            </w:pPr>
            <w:r>
              <w:t>≥85 案件及时办结率应大于 85%</w:t>
            </w:r>
          </w:p>
        </w:tc>
        <w:tc>
          <w:tcPr>
            <w:tcW w:w="2466" w:type="dxa"/>
            <w:vAlign w:val="center"/>
          </w:tcPr>
          <w:p>
            <w:pPr>
              <w:pStyle w:val="14"/>
            </w:pPr>
            <w:r>
              <w:t>　《中华人民共和国刑事诉讼法》、《中华人民共和国民事诉讼法》、《人民检察院组织法》、年度工作总结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　</w:t>
            </w:r>
          </w:p>
        </w:tc>
        <w:tc>
          <w:tcPr>
            <w:tcW w:w="2466" w:type="dxa"/>
            <w:vAlign w:val="center"/>
          </w:tcPr>
          <w:p>
            <w:pPr>
              <w:pStyle w:val="14"/>
            </w:pPr>
            <w:r>
              <w:t>严格执行预算，控制各项成本　</w:t>
            </w:r>
          </w:p>
        </w:tc>
        <w:tc>
          <w:tcPr>
            <w:tcW w:w="2466" w:type="dxa"/>
            <w:vAlign w:val="center"/>
          </w:tcPr>
          <w:p>
            <w:pPr>
              <w:pStyle w:val="14"/>
            </w:pPr>
            <w:r>
              <w:t>不超过预算限额</w:t>
            </w:r>
          </w:p>
        </w:tc>
        <w:tc>
          <w:tcPr>
            <w:tcW w:w="2466" w:type="dxa"/>
            <w:vAlign w:val="center"/>
          </w:tcPr>
          <w:p>
            <w:pPr>
              <w:pStyle w:val="14"/>
            </w:pPr>
            <w:r>
              <w:t>年终决算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社会效益指标</w:t>
            </w:r>
          </w:p>
        </w:tc>
        <w:tc>
          <w:tcPr>
            <w:tcW w:w="2466" w:type="dxa"/>
            <w:vAlign w:val="center"/>
          </w:tcPr>
          <w:p>
            <w:pPr>
              <w:pStyle w:val="14"/>
            </w:pPr>
            <w:r>
              <w:t>通过提高办案质效提高司法公信力　</w:t>
            </w:r>
          </w:p>
        </w:tc>
        <w:tc>
          <w:tcPr>
            <w:tcW w:w="2466" w:type="dxa"/>
            <w:vAlign w:val="center"/>
          </w:tcPr>
          <w:p>
            <w:pPr>
              <w:pStyle w:val="14"/>
            </w:pPr>
            <w:r>
              <w:t>全面履行检察职责，提高办案质效</w:t>
            </w:r>
          </w:p>
        </w:tc>
        <w:tc>
          <w:tcPr>
            <w:tcW w:w="2466" w:type="dxa"/>
            <w:vAlign w:val="center"/>
          </w:tcPr>
          <w:p>
            <w:pPr>
              <w:pStyle w:val="14"/>
            </w:pPr>
            <w:r>
              <w:t>　《中华人民共和国刑事诉讼法》、《中华人民共和国民事诉讼法》、《人民检察院组织法》、年度工作总结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经济效益指标</w:t>
            </w:r>
          </w:p>
        </w:tc>
        <w:tc>
          <w:tcPr>
            <w:tcW w:w="2466" w:type="dxa"/>
            <w:vAlign w:val="center"/>
          </w:tcPr>
          <w:p>
            <w:pPr>
              <w:pStyle w:val="14"/>
            </w:pPr>
            <w:r>
              <w:t>业务保障能力提升情况</w:t>
            </w:r>
          </w:p>
        </w:tc>
        <w:tc>
          <w:tcPr>
            <w:tcW w:w="2466" w:type="dxa"/>
            <w:vAlign w:val="center"/>
          </w:tcPr>
          <w:p>
            <w:pPr>
              <w:pStyle w:val="14"/>
            </w:pPr>
            <w:r>
              <w:t>业务保障能力提升情况</w:t>
            </w:r>
          </w:p>
        </w:tc>
        <w:tc>
          <w:tcPr>
            <w:tcW w:w="2466" w:type="dxa"/>
            <w:vAlign w:val="center"/>
          </w:tcPr>
          <w:p>
            <w:pPr>
              <w:pStyle w:val="14"/>
            </w:pPr>
            <w:r>
              <w:t>全面保障检察业务开展</w:t>
            </w:r>
          </w:p>
        </w:tc>
        <w:tc>
          <w:tcPr>
            <w:tcW w:w="2466" w:type="dxa"/>
            <w:vAlign w:val="center"/>
          </w:tcPr>
          <w:p>
            <w:pPr>
              <w:pStyle w:val="14"/>
            </w:pPr>
            <w:r>
              <w:t>　《中华人民共和国刑事诉讼法》、《中华人民共和国民事诉讼法》、《人民检察院组织法》、年度工作总结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群众满意度</w:t>
            </w:r>
          </w:p>
        </w:tc>
        <w:tc>
          <w:tcPr>
            <w:tcW w:w="2466" w:type="dxa"/>
            <w:vAlign w:val="center"/>
          </w:tcPr>
          <w:p>
            <w:pPr>
              <w:pStyle w:val="14"/>
            </w:pPr>
            <w:r>
              <w:t>社会对检察工作的满意度　</w:t>
            </w:r>
          </w:p>
        </w:tc>
        <w:tc>
          <w:tcPr>
            <w:tcW w:w="2466" w:type="dxa"/>
            <w:vAlign w:val="center"/>
          </w:tcPr>
          <w:p>
            <w:pPr>
              <w:pStyle w:val="14"/>
            </w:pPr>
            <w:r>
              <w:t>≥85社会调查满意度大于 85 分　　</w:t>
            </w:r>
          </w:p>
        </w:tc>
        <w:tc>
          <w:tcPr>
            <w:tcW w:w="2466" w:type="dxa"/>
            <w:vAlign w:val="center"/>
          </w:tcPr>
          <w:p>
            <w:pPr>
              <w:pStyle w:val="14"/>
            </w:pPr>
            <w:r>
              <w:t>河北省群众安全感和政法队伍满意调查结果　</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4、认罪认罚同步录音录像区块链系统绩效目标表</w:t>
      </w:r>
    </w:p>
    <w:tbl>
      <w:tblPr>
        <w:tblStyle w:val="6"/>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1.针对性解决认罪认罚案件办理中存在的不规范、走形式，甚至胁迫认罪认罚等问题，进一步提高办案质效</w:t>
            </w:r>
            <w:r>
              <w:tab/>
            </w:r>
            <w:r>
              <w:tab/>
            </w:r>
            <w:r>
              <w:tab/>
            </w:r>
            <w:r>
              <w:tab/>
            </w:r>
            <w:r>
              <w:tab/>
            </w:r>
            <w:r>
              <w:tab/>
            </w:r>
          </w:p>
          <w:p>
            <w:pPr>
              <w:pStyle w:val="14"/>
            </w:pPr>
          </w:p>
          <w:p>
            <w:pPr>
              <w:pStyle w:val="14"/>
            </w:pPr>
            <w:r>
              <w:t>2.为雄安检察机关开展认罪认罚听取意见提供技术支撑保障，促进社会信息流通和办案数据共享</w:t>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认罪认罚同步录音录像率</w:t>
            </w:r>
          </w:p>
        </w:tc>
        <w:tc>
          <w:tcPr>
            <w:tcW w:w="2466" w:type="dxa"/>
            <w:vAlign w:val="center"/>
          </w:tcPr>
          <w:p>
            <w:pPr>
              <w:pStyle w:val="14"/>
            </w:pPr>
            <w:r>
              <w:t>新区检察机关办理认罪认罚具结案件数，实现认罪认罚同步录音录像比率（%）</w:t>
            </w:r>
          </w:p>
        </w:tc>
        <w:tc>
          <w:tcPr>
            <w:tcW w:w="2466" w:type="dxa"/>
            <w:vAlign w:val="center"/>
          </w:tcPr>
          <w:p>
            <w:pPr>
              <w:pStyle w:val="14"/>
              <w:rPr>
                <w:rFonts w:hint="eastAsia" w:eastAsia="方正书宋_GBK"/>
                <w:lang w:val="en-US" w:eastAsia="zh-CN"/>
              </w:rPr>
            </w:pPr>
            <w:r>
              <w:t>100</w:t>
            </w:r>
          </w:p>
        </w:tc>
        <w:tc>
          <w:tcPr>
            <w:tcW w:w="2466" w:type="dxa"/>
            <w:vAlign w:val="center"/>
          </w:tcPr>
          <w:p>
            <w:pPr>
              <w:pStyle w:val="14"/>
            </w:pPr>
            <w:r>
              <w:t>工作报告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同步录音录像上链率</w:t>
            </w:r>
          </w:p>
        </w:tc>
        <w:tc>
          <w:tcPr>
            <w:tcW w:w="2466" w:type="dxa"/>
            <w:vAlign w:val="center"/>
          </w:tcPr>
          <w:p>
            <w:pPr>
              <w:pStyle w:val="14"/>
            </w:pPr>
            <w:r>
              <w:t>认罪认罚案件具结数上传区块链系统管理的比率（%）</w:t>
            </w:r>
          </w:p>
        </w:tc>
        <w:tc>
          <w:tcPr>
            <w:tcW w:w="2466" w:type="dxa"/>
            <w:vAlign w:val="center"/>
          </w:tcPr>
          <w:p>
            <w:pPr>
              <w:pStyle w:val="14"/>
              <w:rPr>
                <w:rFonts w:hint="eastAsia" w:eastAsia="方正书宋_GBK"/>
                <w:lang w:val="en-US" w:eastAsia="zh-CN"/>
              </w:rPr>
            </w:pPr>
            <w:r>
              <w:t>100</w:t>
            </w:r>
          </w:p>
        </w:tc>
        <w:tc>
          <w:tcPr>
            <w:tcW w:w="2466" w:type="dxa"/>
            <w:vAlign w:val="center"/>
          </w:tcPr>
          <w:p>
            <w:pPr>
              <w:pStyle w:val="14"/>
            </w:pPr>
            <w:r>
              <w:t>工作报告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报修及时恢复率</w:t>
            </w:r>
          </w:p>
        </w:tc>
        <w:tc>
          <w:tcPr>
            <w:tcW w:w="2466" w:type="dxa"/>
            <w:vAlign w:val="center"/>
          </w:tcPr>
          <w:p>
            <w:pPr>
              <w:pStyle w:val="14"/>
            </w:pPr>
            <w:r>
              <w:t>系统出现故障报修后维修人员及时修复的比率（%）</w:t>
            </w:r>
          </w:p>
        </w:tc>
        <w:tc>
          <w:tcPr>
            <w:tcW w:w="2466" w:type="dxa"/>
            <w:vAlign w:val="center"/>
          </w:tcPr>
          <w:p>
            <w:pPr>
              <w:pStyle w:val="14"/>
              <w:rPr>
                <w:rFonts w:hint="eastAsia" w:eastAsia="方正书宋_GBK"/>
                <w:lang w:val="en-US" w:eastAsia="zh-CN"/>
              </w:rPr>
            </w:pPr>
            <w:r>
              <w:t>≥95</w:t>
            </w:r>
          </w:p>
        </w:tc>
        <w:tc>
          <w:tcPr>
            <w:tcW w:w="2466" w:type="dxa"/>
            <w:vAlign w:val="center"/>
          </w:tcPr>
          <w:p>
            <w:pPr>
              <w:pStyle w:val="14"/>
            </w:pPr>
            <w:r>
              <w:t>工作报告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预算执行率</w:t>
            </w:r>
          </w:p>
        </w:tc>
        <w:tc>
          <w:tcPr>
            <w:tcW w:w="2466" w:type="dxa"/>
            <w:vAlign w:val="center"/>
          </w:tcPr>
          <w:p>
            <w:pPr>
              <w:pStyle w:val="14"/>
            </w:pPr>
            <w:r>
              <w:t>项目预算执行情况（%）</w:t>
            </w:r>
          </w:p>
        </w:tc>
        <w:tc>
          <w:tcPr>
            <w:tcW w:w="2466" w:type="dxa"/>
            <w:vAlign w:val="center"/>
          </w:tcPr>
          <w:p>
            <w:pPr>
              <w:pStyle w:val="14"/>
              <w:rPr>
                <w:rFonts w:hint="eastAsia" w:eastAsia="方正书宋_GBK"/>
                <w:lang w:val="en-US" w:eastAsia="zh-CN"/>
              </w:rPr>
            </w:pPr>
            <w:r>
              <w:t>≥90</w:t>
            </w:r>
          </w:p>
        </w:tc>
        <w:tc>
          <w:tcPr>
            <w:tcW w:w="2466" w:type="dxa"/>
            <w:vAlign w:val="center"/>
          </w:tcPr>
          <w:p>
            <w:pPr>
              <w:pStyle w:val="14"/>
            </w:pPr>
            <w:r>
              <w:t>年度决算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社会信息流通和办案数据共享</w:t>
            </w:r>
          </w:p>
        </w:tc>
        <w:tc>
          <w:tcPr>
            <w:tcW w:w="2466" w:type="dxa"/>
            <w:vAlign w:val="center"/>
          </w:tcPr>
          <w:p>
            <w:pPr>
              <w:pStyle w:val="14"/>
            </w:pPr>
            <w:r>
              <w:t>利用信息化手段搭建业务应用平台，实现犯罪嫌疑人等足不出户进行案件审理</w:t>
            </w:r>
          </w:p>
        </w:tc>
        <w:tc>
          <w:tcPr>
            <w:tcW w:w="2466" w:type="dxa"/>
            <w:vAlign w:val="center"/>
          </w:tcPr>
          <w:p>
            <w:pPr>
              <w:pStyle w:val="14"/>
            </w:pPr>
            <w:r>
              <w:t>进一步提高</w:t>
            </w:r>
          </w:p>
        </w:tc>
        <w:tc>
          <w:tcPr>
            <w:tcW w:w="2466" w:type="dxa"/>
            <w:vAlign w:val="center"/>
          </w:tcPr>
          <w:p>
            <w:pPr>
              <w:pStyle w:val="14"/>
            </w:pPr>
            <w:r>
              <w:t>工作报告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经济效益指标</w:t>
            </w:r>
          </w:p>
        </w:tc>
        <w:tc>
          <w:tcPr>
            <w:tcW w:w="2466" w:type="dxa"/>
            <w:vAlign w:val="center"/>
          </w:tcPr>
          <w:p>
            <w:pPr>
              <w:pStyle w:val="14"/>
            </w:pPr>
            <w:r>
              <w:t>规范业务流程，节约办案成本</w:t>
            </w:r>
          </w:p>
        </w:tc>
        <w:tc>
          <w:tcPr>
            <w:tcW w:w="2466" w:type="dxa"/>
            <w:vAlign w:val="center"/>
          </w:tcPr>
          <w:p>
            <w:pPr>
              <w:pStyle w:val="14"/>
            </w:pPr>
            <w:r>
              <w:t>通过建设系统节约办案人员路程、安保和服务等费用</w:t>
            </w:r>
          </w:p>
        </w:tc>
        <w:tc>
          <w:tcPr>
            <w:tcW w:w="2466" w:type="dxa"/>
            <w:vAlign w:val="center"/>
          </w:tcPr>
          <w:p>
            <w:pPr>
              <w:pStyle w:val="14"/>
            </w:pPr>
            <w:r>
              <w:t>进一步提高</w:t>
            </w:r>
          </w:p>
        </w:tc>
        <w:tc>
          <w:tcPr>
            <w:tcW w:w="2466" w:type="dxa"/>
            <w:vAlign w:val="center"/>
          </w:tcPr>
          <w:p>
            <w:pPr>
              <w:pStyle w:val="14"/>
            </w:pPr>
            <w:r>
              <w:t>工作报告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工作人员满意度</w:t>
            </w:r>
          </w:p>
        </w:tc>
        <w:tc>
          <w:tcPr>
            <w:tcW w:w="2466" w:type="dxa"/>
            <w:vAlign w:val="center"/>
          </w:tcPr>
          <w:p>
            <w:pPr>
              <w:pStyle w:val="14"/>
            </w:pPr>
            <w:r>
              <w:t>系统使用工作人员对系统的满意度</w:t>
            </w:r>
          </w:p>
        </w:tc>
        <w:tc>
          <w:tcPr>
            <w:tcW w:w="2466" w:type="dxa"/>
            <w:vAlign w:val="center"/>
          </w:tcPr>
          <w:p>
            <w:pPr>
              <w:pStyle w:val="14"/>
            </w:pPr>
            <w:r>
              <w:t>≥90　　</w:t>
            </w:r>
          </w:p>
        </w:tc>
        <w:tc>
          <w:tcPr>
            <w:tcW w:w="2466" w:type="dxa"/>
            <w:vAlign w:val="center"/>
          </w:tcPr>
          <w:p>
            <w:pPr>
              <w:pStyle w:val="14"/>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5、涉密系统运行维护服务费绩效目标表</w:t>
      </w:r>
    </w:p>
    <w:tbl>
      <w:tblPr>
        <w:tblStyle w:val="6"/>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1.通过该项目的实施，确保我院涉密信息系统软硬件设备正常运转。</w:t>
            </w:r>
            <w:r>
              <w:tab/>
            </w:r>
            <w:r>
              <w:tab/>
            </w:r>
            <w:r>
              <w:tab/>
            </w:r>
            <w:r>
              <w:tab/>
            </w:r>
            <w:r>
              <w:tab/>
            </w:r>
            <w:r>
              <w:tab/>
            </w:r>
          </w:p>
          <w:p>
            <w:pPr>
              <w:pStyle w:val="14"/>
            </w:pPr>
          </w:p>
          <w:p>
            <w:pPr>
              <w:pStyle w:val="14"/>
            </w:pPr>
            <w:r>
              <w:t>2.按照有关规定，组织专业人员每年对我院涉密信息系统进行安全检查，确保涉密运行合法合规。</w:t>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运维工作的数量</w:t>
            </w:r>
          </w:p>
        </w:tc>
        <w:tc>
          <w:tcPr>
            <w:tcW w:w="2466" w:type="dxa"/>
            <w:vAlign w:val="center"/>
          </w:tcPr>
          <w:p>
            <w:pPr>
              <w:pStyle w:val="14"/>
            </w:pPr>
            <w:r>
              <w:t>运维工作的数量</w:t>
            </w:r>
          </w:p>
        </w:tc>
        <w:tc>
          <w:tcPr>
            <w:tcW w:w="2466" w:type="dxa"/>
            <w:vAlign w:val="center"/>
          </w:tcPr>
          <w:p>
            <w:pPr>
              <w:pStyle w:val="14"/>
            </w:pPr>
            <w:r>
              <w:t>≥1000对我院涉密信息化软硬件设备的日常维护、升级保障次数</w:t>
            </w:r>
          </w:p>
        </w:tc>
        <w:tc>
          <w:tcPr>
            <w:tcW w:w="2466" w:type="dxa"/>
            <w:vAlign w:val="center"/>
          </w:tcPr>
          <w:p>
            <w:pPr>
              <w:pStyle w:val="14"/>
            </w:pPr>
            <w:r>
              <w:t>年度运维报告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运维事故</w:t>
            </w:r>
          </w:p>
        </w:tc>
        <w:tc>
          <w:tcPr>
            <w:tcW w:w="2466" w:type="dxa"/>
            <w:vAlign w:val="center"/>
          </w:tcPr>
          <w:p>
            <w:pPr>
              <w:pStyle w:val="14"/>
            </w:pPr>
            <w:r>
              <w:t>因运维不利产生事故</w:t>
            </w:r>
          </w:p>
        </w:tc>
        <w:tc>
          <w:tcPr>
            <w:tcW w:w="2466" w:type="dxa"/>
            <w:vAlign w:val="center"/>
          </w:tcPr>
          <w:p>
            <w:pPr>
              <w:pStyle w:val="14"/>
            </w:pPr>
            <w:r>
              <w:t>&lt;1因运维工作不利造成不可挽回的损失认定为事故</w:t>
            </w:r>
          </w:p>
        </w:tc>
        <w:tc>
          <w:tcPr>
            <w:tcW w:w="2466" w:type="dxa"/>
            <w:vAlign w:val="center"/>
          </w:tcPr>
          <w:p>
            <w:pPr>
              <w:pStyle w:val="14"/>
            </w:pPr>
            <w:r>
              <w:t>年度运维报告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问题解决率</w:t>
            </w:r>
          </w:p>
        </w:tc>
        <w:tc>
          <w:tcPr>
            <w:tcW w:w="2466" w:type="dxa"/>
            <w:vAlign w:val="center"/>
          </w:tcPr>
          <w:p>
            <w:pPr>
              <w:pStyle w:val="14"/>
            </w:pPr>
            <w:r>
              <w:t>运维问题当日解决率</w:t>
            </w:r>
          </w:p>
        </w:tc>
        <w:tc>
          <w:tcPr>
            <w:tcW w:w="2466" w:type="dxa"/>
            <w:vAlign w:val="center"/>
          </w:tcPr>
          <w:p>
            <w:pPr>
              <w:pStyle w:val="14"/>
            </w:pPr>
            <w:r>
              <w:t>≥90解决问题占全部运维问题的比率</w:t>
            </w:r>
          </w:p>
        </w:tc>
        <w:tc>
          <w:tcPr>
            <w:tcW w:w="2466" w:type="dxa"/>
            <w:vAlign w:val="center"/>
          </w:tcPr>
          <w:p>
            <w:pPr>
              <w:pStyle w:val="14"/>
            </w:pPr>
            <w:r>
              <w:t>年度运维报告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设备配件更换率</w:t>
            </w:r>
          </w:p>
        </w:tc>
        <w:tc>
          <w:tcPr>
            <w:tcW w:w="2466" w:type="dxa"/>
            <w:vAlign w:val="center"/>
          </w:tcPr>
          <w:p>
            <w:pPr>
              <w:pStyle w:val="14"/>
            </w:pPr>
            <w:r>
              <w:t>运维较好，减少设备更换</w:t>
            </w:r>
          </w:p>
        </w:tc>
        <w:tc>
          <w:tcPr>
            <w:tcW w:w="2466" w:type="dxa"/>
            <w:vAlign w:val="center"/>
          </w:tcPr>
          <w:p>
            <w:pPr>
              <w:pStyle w:val="14"/>
            </w:pPr>
            <w:r>
              <w:t>≤10通过运维，使得设备更换减少，更换比率降低</w:t>
            </w:r>
          </w:p>
        </w:tc>
        <w:tc>
          <w:tcPr>
            <w:tcW w:w="2466" w:type="dxa"/>
            <w:vAlign w:val="center"/>
          </w:tcPr>
          <w:p>
            <w:pPr>
              <w:pStyle w:val="14"/>
            </w:pPr>
            <w:r>
              <w:t>年度运维报告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可持续影响指标</w:t>
            </w:r>
          </w:p>
        </w:tc>
        <w:tc>
          <w:tcPr>
            <w:tcW w:w="2466" w:type="dxa"/>
            <w:vAlign w:val="center"/>
          </w:tcPr>
          <w:p>
            <w:pPr>
              <w:pStyle w:val="14"/>
            </w:pPr>
            <w:r>
              <w:t>设备故障再发生率</w:t>
            </w:r>
          </w:p>
        </w:tc>
        <w:tc>
          <w:tcPr>
            <w:tcW w:w="2466" w:type="dxa"/>
            <w:vAlign w:val="center"/>
          </w:tcPr>
          <w:p>
            <w:pPr>
              <w:pStyle w:val="14"/>
            </w:pPr>
            <w:r>
              <w:t>运维所涉信息化设备多次发生同种故障率</w:t>
            </w:r>
          </w:p>
        </w:tc>
        <w:tc>
          <w:tcPr>
            <w:tcW w:w="2466" w:type="dxa"/>
            <w:vAlign w:val="center"/>
          </w:tcPr>
          <w:p>
            <w:pPr>
              <w:pStyle w:val="14"/>
            </w:pPr>
            <w:r>
              <w:t>&lt;30运维所涉信息化设备多次发生同种故障率</w:t>
            </w:r>
          </w:p>
        </w:tc>
        <w:tc>
          <w:tcPr>
            <w:tcW w:w="2466" w:type="dxa"/>
            <w:vAlign w:val="center"/>
          </w:tcPr>
          <w:p>
            <w:pPr>
              <w:pStyle w:val="14"/>
            </w:pPr>
            <w:r>
              <w:t>年度运维报告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可持续性服务</w:t>
            </w:r>
          </w:p>
        </w:tc>
        <w:tc>
          <w:tcPr>
            <w:tcW w:w="2466" w:type="dxa"/>
            <w:vAlign w:val="center"/>
          </w:tcPr>
          <w:p>
            <w:pPr>
              <w:pStyle w:val="14"/>
            </w:pPr>
            <w:r>
              <w:t>可持续性服务</w:t>
            </w:r>
          </w:p>
        </w:tc>
        <w:tc>
          <w:tcPr>
            <w:tcW w:w="2466" w:type="dxa"/>
            <w:vAlign w:val="center"/>
          </w:tcPr>
          <w:p>
            <w:pPr>
              <w:pStyle w:val="14"/>
            </w:pPr>
            <w:r>
              <w:t>持续为涉密项目提供保障</w:t>
            </w:r>
          </w:p>
        </w:tc>
        <w:tc>
          <w:tcPr>
            <w:tcW w:w="2466" w:type="dxa"/>
            <w:vAlign w:val="center"/>
          </w:tcPr>
          <w:p>
            <w:pPr>
              <w:pStyle w:val="14"/>
            </w:pPr>
            <w:r>
              <w:t>年度运维报告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运维服务满意度</w:t>
            </w:r>
          </w:p>
        </w:tc>
        <w:tc>
          <w:tcPr>
            <w:tcW w:w="2466" w:type="dxa"/>
            <w:vAlign w:val="center"/>
          </w:tcPr>
          <w:p>
            <w:pPr>
              <w:pStyle w:val="14"/>
            </w:pPr>
            <w:r>
              <w:t>全院干警对本院运维的满意度</w:t>
            </w:r>
          </w:p>
        </w:tc>
        <w:tc>
          <w:tcPr>
            <w:tcW w:w="2466" w:type="dxa"/>
            <w:vAlign w:val="center"/>
          </w:tcPr>
          <w:p>
            <w:pPr>
              <w:pStyle w:val="14"/>
            </w:pPr>
            <w:r>
              <w:t>≥90全院干警对运维的满意度</w:t>
            </w:r>
          </w:p>
        </w:tc>
        <w:tc>
          <w:tcPr>
            <w:tcW w:w="2466" w:type="dxa"/>
            <w:vAlign w:val="center"/>
          </w:tcPr>
          <w:p>
            <w:pPr>
              <w:pStyle w:val="14"/>
            </w:pPr>
            <w:r>
              <w:t>年度运维报告</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6、实验室运维及库房租赁绩效目标表</w:t>
      </w:r>
    </w:p>
    <w:tbl>
      <w:tblPr>
        <w:tblStyle w:val="6"/>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1.通过该项目的实施，确保我院司法鉴定实验室的软硬件能够正常运转，遇到问题及时解决。</w:t>
            </w:r>
            <w:r>
              <w:tab/>
            </w:r>
            <w:r>
              <w:tab/>
            </w:r>
            <w:r>
              <w:tab/>
            </w:r>
            <w:r>
              <w:tab/>
            </w:r>
            <w:r>
              <w:tab/>
            </w:r>
            <w:r>
              <w:tab/>
            </w:r>
          </w:p>
          <w:p>
            <w:pPr>
              <w:pStyle w:val="14"/>
            </w:pPr>
          </w:p>
          <w:p>
            <w:pPr>
              <w:pStyle w:val="14"/>
            </w:pPr>
            <w:r>
              <w:t>2.通过该项目的实施，确保我院年实验室专用备件库房租赁后保障备件、药剂的安全。</w:t>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专业巡检次数</w:t>
            </w:r>
          </w:p>
        </w:tc>
        <w:tc>
          <w:tcPr>
            <w:tcW w:w="2466" w:type="dxa"/>
            <w:vAlign w:val="center"/>
          </w:tcPr>
          <w:p>
            <w:pPr>
              <w:pStyle w:val="14"/>
            </w:pPr>
            <w:r>
              <w:t>年度内对实验室的专业巡察、检查</w:t>
            </w:r>
          </w:p>
        </w:tc>
        <w:tc>
          <w:tcPr>
            <w:tcW w:w="2466" w:type="dxa"/>
            <w:vAlign w:val="center"/>
          </w:tcPr>
          <w:p>
            <w:pPr>
              <w:pStyle w:val="14"/>
            </w:pPr>
            <w:r>
              <w:t>≥12至少每月巡检一次</w:t>
            </w:r>
          </w:p>
        </w:tc>
        <w:tc>
          <w:tcPr>
            <w:tcW w:w="2466" w:type="dxa"/>
            <w:vAlign w:val="center"/>
          </w:tcPr>
          <w:p>
            <w:pPr>
              <w:pStyle w:val="14"/>
            </w:pPr>
            <w:r>
              <w:t>运维报告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运维事故</w:t>
            </w:r>
          </w:p>
        </w:tc>
        <w:tc>
          <w:tcPr>
            <w:tcW w:w="2466" w:type="dxa"/>
            <w:vAlign w:val="center"/>
          </w:tcPr>
          <w:p>
            <w:pPr>
              <w:pStyle w:val="14"/>
            </w:pPr>
            <w:r>
              <w:t>因运维不利产生事故</w:t>
            </w:r>
          </w:p>
        </w:tc>
        <w:tc>
          <w:tcPr>
            <w:tcW w:w="2466" w:type="dxa"/>
            <w:vAlign w:val="center"/>
          </w:tcPr>
          <w:p>
            <w:pPr>
              <w:pStyle w:val="14"/>
            </w:pPr>
            <w:r>
              <w:t>&lt;1因运维工作不利造成不可挽回的损失认定为事故</w:t>
            </w:r>
          </w:p>
        </w:tc>
        <w:tc>
          <w:tcPr>
            <w:tcW w:w="2466" w:type="dxa"/>
            <w:vAlign w:val="center"/>
          </w:tcPr>
          <w:p>
            <w:pPr>
              <w:pStyle w:val="14"/>
            </w:pPr>
            <w:r>
              <w:t>运维报告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问题解决率</w:t>
            </w:r>
          </w:p>
        </w:tc>
        <w:tc>
          <w:tcPr>
            <w:tcW w:w="2466" w:type="dxa"/>
            <w:vAlign w:val="center"/>
          </w:tcPr>
          <w:p>
            <w:pPr>
              <w:pStyle w:val="14"/>
            </w:pPr>
            <w:r>
              <w:t>运维问题当日解决率</w:t>
            </w:r>
          </w:p>
        </w:tc>
        <w:tc>
          <w:tcPr>
            <w:tcW w:w="2466" w:type="dxa"/>
            <w:vAlign w:val="center"/>
          </w:tcPr>
          <w:p>
            <w:pPr>
              <w:pStyle w:val="14"/>
            </w:pPr>
            <w:r>
              <w:t>≥95解决问题占全部运维问题的比率</w:t>
            </w:r>
          </w:p>
        </w:tc>
        <w:tc>
          <w:tcPr>
            <w:tcW w:w="2466" w:type="dxa"/>
            <w:vAlign w:val="center"/>
          </w:tcPr>
          <w:p>
            <w:pPr>
              <w:pStyle w:val="14"/>
            </w:pPr>
            <w:r>
              <w:t>运维报告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设备配件更换率</w:t>
            </w:r>
          </w:p>
        </w:tc>
        <w:tc>
          <w:tcPr>
            <w:tcW w:w="2466" w:type="dxa"/>
            <w:vAlign w:val="center"/>
          </w:tcPr>
          <w:p>
            <w:pPr>
              <w:pStyle w:val="14"/>
            </w:pPr>
            <w:r>
              <w:t>运维较好，减少设备更换</w:t>
            </w:r>
          </w:p>
        </w:tc>
        <w:tc>
          <w:tcPr>
            <w:tcW w:w="2466" w:type="dxa"/>
            <w:vAlign w:val="center"/>
          </w:tcPr>
          <w:p>
            <w:pPr>
              <w:pStyle w:val="14"/>
            </w:pPr>
            <w:r>
              <w:t>≤10通过运维，使得设备更换减少，更换</w:t>
            </w:r>
          </w:p>
          <w:p>
            <w:pPr>
              <w:pStyle w:val="14"/>
            </w:pPr>
            <w:r>
              <w:t>比率降低</w:t>
            </w:r>
          </w:p>
        </w:tc>
        <w:tc>
          <w:tcPr>
            <w:tcW w:w="2466" w:type="dxa"/>
            <w:vAlign w:val="center"/>
          </w:tcPr>
          <w:p>
            <w:pPr>
              <w:pStyle w:val="14"/>
            </w:pPr>
            <w:r>
              <w:t>运维报告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可持续影响指标</w:t>
            </w:r>
          </w:p>
        </w:tc>
        <w:tc>
          <w:tcPr>
            <w:tcW w:w="2466" w:type="dxa"/>
            <w:vAlign w:val="center"/>
          </w:tcPr>
          <w:p>
            <w:pPr>
              <w:pStyle w:val="14"/>
            </w:pPr>
            <w:r>
              <w:t>设备故障再发生率</w:t>
            </w:r>
          </w:p>
        </w:tc>
        <w:tc>
          <w:tcPr>
            <w:tcW w:w="2466" w:type="dxa"/>
            <w:vAlign w:val="center"/>
          </w:tcPr>
          <w:p>
            <w:pPr>
              <w:pStyle w:val="14"/>
            </w:pPr>
            <w:r>
              <w:t>运维所涉信息化设备多次发生同种故障率</w:t>
            </w:r>
          </w:p>
        </w:tc>
        <w:tc>
          <w:tcPr>
            <w:tcW w:w="2466" w:type="dxa"/>
            <w:vAlign w:val="center"/>
          </w:tcPr>
          <w:p>
            <w:pPr>
              <w:pStyle w:val="14"/>
            </w:pPr>
            <w:r>
              <w:t>≤30运维所涉信息化设备多次发生同种故障率</w:t>
            </w:r>
          </w:p>
        </w:tc>
        <w:tc>
          <w:tcPr>
            <w:tcW w:w="2466" w:type="dxa"/>
            <w:vAlign w:val="center"/>
          </w:tcPr>
          <w:p>
            <w:pPr>
              <w:pStyle w:val="14"/>
            </w:pPr>
            <w:r>
              <w:t>运维报告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可持续性服务</w:t>
            </w:r>
          </w:p>
        </w:tc>
        <w:tc>
          <w:tcPr>
            <w:tcW w:w="2466" w:type="dxa"/>
            <w:vAlign w:val="center"/>
          </w:tcPr>
          <w:p>
            <w:pPr>
              <w:pStyle w:val="14"/>
            </w:pPr>
            <w:r>
              <w:t>可持续性服务</w:t>
            </w:r>
          </w:p>
        </w:tc>
        <w:tc>
          <w:tcPr>
            <w:tcW w:w="2466" w:type="dxa"/>
            <w:vAlign w:val="center"/>
          </w:tcPr>
          <w:p>
            <w:pPr>
              <w:pStyle w:val="14"/>
            </w:pPr>
            <w:r>
              <w:t>持续保障实验室发挥职能</w:t>
            </w:r>
          </w:p>
        </w:tc>
        <w:tc>
          <w:tcPr>
            <w:tcW w:w="2466" w:type="dxa"/>
            <w:vAlign w:val="center"/>
          </w:tcPr>
          <w:p>
            <w:pPr>
              <w:pStyle w:val="14"/>
            </w:pPr>
            <w:r>
              <w:t>运维报告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运维服务满意度</w:t>
            </w:r>
          </w:p>
        </w:tc>
        <w:tc>
          <w:tcPr>
            <w:tcW w:w="2466" w:type="dxa"/>
            <w:vAlign w:val="center"/>
          </w:tcPr>
          <w:p>
            <w:pPr>
              <w:pStyle w:val="14"/>
            </w:pPr>
            <w:r>
              <w:t>全院干警对实验室运维的满意度</w:t>
            </w:r>
          </w:p>
        </w:tc>
        <w:tc>
          <w:tcPr>
            <w:tcW w:w="2466" w:type="dxa"/>
            <w:vAlign w:val="center"/>
          </w:tcPr>
          <w:p>
            <w:pPr>
              <w:pStyle w:val="14"/>
            </w:pPr>
            <w:r>
              <w:t>≥90全院干警对运维的满意度</w:t>
            </w:r>
          </w:p>
        </w:tc>
        <w:tc>
          <w:tcPr>
            <w:tcW w:w="2466" w:type="dxa"/>
            <w:vAlign w:val="center"/>
          </w:tcPr>
          <w:p>
            <w:pPr>
              <w:pStyle w:val="14"/>
            </w:pPr>
            <w:r>
              <w:t>年度工作报告</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7、司法救助绩效目标表</w:t>
      </w:r>
    </w:p>
    <w:tbl>
      <w:tblPr>
        <w:tblStyle w:val="6"/>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1.通过司法救助资金发放，及时将救助资金发放到救助对象，提升检察机关司法公信力</w:t>
            </w:r>
            <w:r>
              <w:tab/>
            </w:r>
            <w:r>
              <w:tab/>
            </w:r>
            <w:r>
              <w:tab/>
            </w:r>
            <w:r>
              <w:tab/>
            </w:r>
            <w:r>
              <w:tab/>
            </w:r>
            <w:r>
              <w:tab/>
            </w:r>
          </w:p>
          <w:p>
            <w:pPr>
              <w:pStyle w:val="14"/>
            </w:pPr>
          </w:p>
          <w:p>
            <w:pPr>
              <w:pStyle w:val="14"/>
            </w:pPr>
            <w:r>
              <w:t>2.通过发放司法救助资金，缓解司法救助人员生活困难，保证人民合法权益.</w:t>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司法申请办结率</w:t>
            </w:r>
          </w:p>
        </w:tc>
        <w:tc>
          <w:tcPr>
            <w:tcW w:w="2466" w:type="dxa"/>
            <w:vAlign w:val="center"/>
          </w:tcPr>
          <w:p>
            <w:pPr>
              <w:pStyle w:val="14"/>
            </w:pPr>
            <w:r>
              <w:t>将符合救助条件的司法救助申请提交政法委予以审核</w:t>
            </w:r>
          </w:p>
        </w:tc>
        <w:tc>
          <w:tcPr>
            <w:tcW w:w="2466" w:type="dxa"/>
            <w:vAlign w:val="center"/>
          </w:tcPr>
          <w:p>
            <w:pPr>
              <w:pStyle w:val="14"/>
            </w:pPr>
            <w:r>
              <w:t>100应当准时办结</w:t>
            </w:r>
          </w:p>
        </w:tc>
        <w:tc>
          <w:tcPr>
            <w:tcW w:w="2466" w:type="dxa"/>
            <w:vAlign w:val="center"/>
          </w:tcPr>
          <w:p>
            <w:pPr>
              <w:pStyle w:val="14"/>
            </w:pPr>
            <w:r>
              <w:t>《中华人民共和国刑事诉讼法》、《建立完善国家司法救助制度的意见（试行）》、《人民检察院国家司法救助工作细则（试行）》、《雄安新区建立国家司法救助制度实施办法》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救助对象审查合格率</w:t>
            </w:r>
          </w:p>
        </w:tc>
        <w:tc>
          <w:tcPr>
            <w:tcW w:w="2466" w:type="dxa"/>
            <w:vAlign w:val="center"/>
          </w:tcPr>
          <w:p>
            <w:pPr>
              <w:pStyle w:val="14"/>
            </w:pPr>
            <w:r>
              <w:t>司法救助案件被救助人是否符合法律规定的条件</w:t>
            </w:r>
          </w:p>
        </w:tc>
        <w:tc>
          <w:tcPr>
            <w:tcW w:w="2466" w:type="dxa"/>
            <w:vAlign w:val="center"/>
          </w:tcPr>
          <w:p>
            <w:pPr>
              <w:pStyle w:val="14"/>
            </w:pPr>
            <w:r>
              <w:t>≥95</w:t>
            </w:r>
          </w:p>
        </w:tc>
        <w:tc>
          <w:tcPr>
            <w:tcW w:w="2466" w:type="dxa"/>
            <w:vAlign w:val="center"/>
          </w:tcPr>
          <w:p>
            <w:pPr>
              <w:pStyle w:val="14"/>
            </w:pPr>
            <w:r>
              <w:t>救助标准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及时作出救助决定</w:t>
            </w:r>
          </w:p>
        </w:tc>
        <w:tc>
          <w:tcPr>
            <w:tcW w:w="2466" w:type="dxa"/>
            <w:vAlign w:val="center"/>
          </w:tcPr>
          <w:p>
            <w:pPr>
              <w:pStyle w:val="14"/>
            </w:pPr>
            <w:r>
              <w:t>自受理申请之日起10日内作出是否予以救助和决定</w:t>
            </w:r>
          </w:p>
        </w:tc>
        <w:tc>
          <w:tcPr>
            <w:tcW w:w="2466" w:type="dxa"/>
            <w:vAlign w:val="center"/>
          </w:tcPr>
          <w:p>
            <w:pPr>
              <w:pStyle w:val="14"/>
            </w:pPr>
            <w:r>
              <w:t>≤10</w:t>
            </w:r>
          </w:p>
        </w:tc>
        <w:tc>
          <w:tcPr>
            <w:tcW w:w="2466" w:type="dxa"/>
            <w:vAlign w:val="center"/>
          </w:tcPr>
          <w:p>
            <w:pPr>
              <w:pStyle w:val="14"/>
            </w:pPr>
            <w:r>
              <w:t>司法救助申请受理决定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严格执行救助标准</w:t>
            </w:r>
          </w:p>
        </w:tc>
        <w:tc>
          <w:tcPr>
            <w:tcW w:w="2466" w:type="dxa"/>
            <w:vAlign w:val="center"/>
          </w:tcPr>
          <w:p>
            <w:pPr>
              <w:pStyle w:val="14"/>
            </w:pPr>
            <w:r>
              <w:t>严格执行救助标准，提高财政资金使用效益</w:t>
            </w:r>
          </w:p>
        </w:tc>
        <w:tc>
          <w:tcPr>
            <w:tcW w:w="2466" w:type="dxa"/>
            <w:vAlign w:val="center"/>
          </w:tcPr>
          <w:p>
            <w:pPr>
              <w:pStyle w:val="14"/>
            </w:pPr>
            <w:r>
              <w:t>严格执行标准</w:t>
            </w:r>
          </w:p>
        </w:tc>
        <w:tc>
          <w:tcPr>
            <w:tcW w:w="2466" w:type="dxa"/>
            <w:vAlign w:val="center"/>
          </w:tcPr>
          <w:p>
            <w:pPr>
              <w:pStyle w:val="14"/>
            </w:pPr>
            <w:r>
              <w:t>年度工作总结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提高司法公信力</w:t>
            </w:r>
          </w:p>
        </w:tc>
        <w:tc>
          <w:tcPr>
            <w:tcW w:w="2466" w:type="dxa"/>
            <w:vAlign w:val="center"/>
          </w:tcPr>
          <w:p>
            <w:pPr>
              <w:pStyle w:val="14"/>
            </w:pPr>
            <w:r>
              <w:t>保证救助对象合法权益，扩大司法救助覆盖面，提高检察机关司法公信力</w:t>
            </w:r>
          </w:p>
        </w:tc>
        <w:tc>
          <w:tcPr>
            <w:tcW w:w="2466" w:type="dxa"/>
            <w:vAlign w:val="center"/>
          </w:tcPr>
          <w:p>
            <w:pPr>
              <w:pStyle w:val="14"/>
            </w:pPr>
            <w:r>
              <w:t>进一步提升</w:t>
            </w:r>
          </w:p>
        </w:tc>
        <w:tc>
          <w:tcPr>
            <w:tcW w:w="2466" w:type="dxa"/>
            <w:vAlign w:val="center"/>
          </w:tcPr>
          <w:p>
            <w:pPr>
              <w:pStyle w:val="14"/>
            </w:pPr>
            <w:r>
              <w:t>年度工作总结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促进社会稳定</w:t>
            </w:r>
          </w:p>
        </w:tc>
        <w:tc>
          <w:tcPr>
            <w:tcW w:w="2466" w:type="dxa"/>
            <w:vAlign w:val="center"/>
          </w:tcPr>
          <w:p>
            <w:pPr>
              <w:pStyle w:val="14"/>
            </w:pPr>
            <w:r>
              <w:t>被救助人生活水平提高，摆脱暂时的困境，息诉罢访，投入新的生活，促进社会和谐稳定</w:t>
            </w:r>
          </w:p>
        </w:tc>
        <w:tc>
          <w:tcPr>
            <w:tcW w:w="2466" w:type="dxa"/>
            <w:vAlign w:val="center"/>
          </w:tcPr>
          <w:p>
            <w:pPr>
              <w:pStyle w:val="14"/>
            </w:pPr>
            <w:r>
              <w:t>进一步提高</w:t>
            </w:r>
          </w:p>
        </w:tc>
        <w:tc>
          <w:tcPr>
            <w:tcW w:w="2466" w:type="dxa"/>
            <w:vAlign w:val="center"/>
          </w:tcPr>
          <w:p>
            <w:pPr>
              <w:pStyle w:val="14"/>
            </w:pPr>
            <w:r>
              <w:t>年度工作总结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被救助人员满意度</w:t>
            </w:r>
          </w:p>
        </w:tc>
        <w:tc>
          <w:tcPr>
            <w:tcW w:w="2466" w:type="dxa"/>
            <w:vAlign w:val="center"/>
          </w:tcPr>
          <w:p>
            <w:pPr>
              <w:pStyle w:val="14"/>
            </w:pPr>
            <w:r>
              <w:t>满意和较满意的受益对象占全部调研对象的比例</w:t>
            </w:r>
          </w:p>
        </w:tc>
        <w:tc>
          <w:tcPr>
            <w:tcW w:w="2466" w:type="dxa"/>
            <w:vAlign w:val="center"/>
          </w:tcPr>
          <w:p>
            <w:pPr>
              <w:pStyle w:val="14"/>
            </w:pPr>
            <w:r>
              <w:t>≥85</w:t>
            </w:r>
          </w:p>
        </w:tc>
        <w:tc>
          <w:tcPr>
            <w:tcW w:w="2466" w:type="dxa"/>
            <w:vAlign w:val="center"/>
          </w:tcPr>
          <w:p>
            <w:pPr>
              <w:pStyle w:val="14"/>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8、网络安全建设和测评绩效目标表</w:t>
      </w:r>
    </w:p>
    <w:tbl>
      <w:tblPr>
        <w:tblStyle w:val="6"/>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1.提供有效的沟通与协作机制，提高信息传递系统的稳定性和安全性</w:t>
            </w:r>
            <w:r>
              <w:tab/>
            </w:r>
            <w:r>
              <w:tab/>
            </w:r>
            <w:r>
              <w:tab/>
            </w:r>
            <w:r>
              <w:tab/>
            </w:r>
            <w:r>
              <w:tab/>
            </w:r>
            <w:r>
              <w:tab/>
            </w:r>
          </w:p>
          <w:p>
            <w:pPr>
              <w:pStyle w:val="14"/>
            </w:pPr>
          </w:p>
          <w:p>
            <w:pPr>
              <w:pStyle w:val="14"/>
            </w:pPr>
            <w:r>
              <w:t>2.满足信息系统安全等级保护建设要求，保障检察院工作网信息系统安全运行</w:t>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装备数量</w:t>
            </w:r>
          </w:p>
        </w:tc>
        <w:tc>
          <w:tcPr>
            <w:tcW w:w="2466" w:type="dxa"/>
            <w:vAlign w:val="center"/>
          </w:tcPr>
          <w:p>
            <w:pPr>
              <w:pStyle w:val="14"/>
            </w:pPr>
            <w:r>
              <w:t>按照安全清单配备系统数量</w:t>
            </w:r>
          </w:p>
        </w:tc>
        <w:tc>
          <w:tcPr>
            <w:tcW w:w="2466" w:type="dxa"/>
            <w:vAlign w:val="center"/>
          </w:tcPr>
          <w:p>
            <w:pPr>
              <w:pStyle w:val="14"/>
            </w:pPr>
            <w:r>
              <w:t>信息化建设内容</w:t>
            </w:r>
          </w:p>
        </w:tc>
        <w:tc>
          <w:tcPr>
            <w:tcW w:w="2466" w:type="dxa"/>
            <w:vAlign w:val="center"/>
          </w:tcPr>
          <w:p>
            <w:pPr>
              <w:pStyle w:val="14"/>
            </w:pPr>
            <w:r>
              <w:t>年初工作计划、安全设备及采购合同、年终工作报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采购系统合格率</w:t>
            </w:r>
          </w:p>
        </w:tc>
        <w:tc>
          <w:tcPr>
            <w:tcW w:w="2466" w:type="dxa"/>
            <w:vAlign w:val="center"/>
          </w:tcPr>
          <w:p>
            <w:pPr>
              <w:pStyle w:val="14"/>
              <w:rPr>
                <w:rFonts w:hint="eastAsia" w:eastAsia="方正书宋_GBK"/>
                <w:lang w:eastAsia="zh-CN"/>
              </w:rPr>
            </w:pPr>
            <w:r>
              <w:t>保障网络安全建设，提高合格率</w:t>
            </w:r>
            <w:r>
              <w:rPr>
                <w:rFonts w:hint="eastAsia"/>
                <w:lang w:eastAsia="zh-CN"/>
              </w:rPr>
              <w:t>（</w:t>
            </w:r>
            <w:r>
              <w:rPr>
                <w:rFonts w:hint="eastAsia"/>
                <w:lang w:val="en-US" w:eastAsia="zh-CN"/>
              </w:rPr>
              <w:t>%</w:t>
            </w:r>
            <w:r>
              <w:rPr>
                <w:rFonts w:hint="eastAsia"/>
                <w:lang w:eastAsia="zh-CN"/>
              </w:rPr>
              <w:t>）</w:t>
            </w:r>
          </w:p>
        </w:tc>
        <w:tc>
          <w:tcPr>
            <w:tcW w:w="2466" w:type="dxa"/>
            <w:vAlign w:val="center"/>
          </w:tcPr>
          <w:p>
            <w:pPr>
              <w:pStyle w:val="14"/>
            </w:pPr>
            <w:r>
              <w:t>100</w:t>
            </w:r>
          </w:p>
        </w:tc>
        <w:tc>
          <w:tcPr>
            <w:tcW w:w="2466" w:type="dxa"/>
            <w:vAlign w:val="center"/>
          </w:tcPr>
          <w:p>
            <w:pPr>
              <w:pStyle w:val="14"/>
            </w:pPr>
            <w:r>
              <w:t>年度工作报告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采购成本控制率</w:t>
            </w:r>
          </w:p>
        </w:tc>
        <w:tc>
          <w:tcPr>
            <w:tcW w:w="2466" w:type="dxa"/>
            <w:vAlign w:val="center"/>
          </w:tcPr>
          <w:p>
            <w:pPr>
              <w:pStyle w:val="14"/>
            </w:pPr>
            <w:r>
              <w:t>严格履行政府采购程序，控制采购成本，严禁超预算支出</w:t>
            </w:r>
          </w:p>
        </w:tc>
        <w:tc>
          <w:tcPr>
            <w:tcW w:w="2466" w:type="dxa"/>
            <w:vAlign w:val="center"/>
          </w:tcPr>
          <w:p>
            <w:pPr>
              <w:pStyle w:val="14"/>
            </w:pPr>
            <w:r>
              <w:t>≥90</w:t>
            </w:r>
          </w:p>
        </w:tc>
        <w:tc>
          <w:tcPr>
            <w:tcW w:w="2466" w:type="dxa"/>
            <w:vAlign w:val="center"/>
          </w:tcPr>
          <w:p>
            <w:pPr>
              <w:pStyle w:val="14"/>
            </w:pPr>
            <w:r>
              <w:t>年度决算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计划时限内配备率</w:t>
            </w:r>
          </w:p>
        </w:tc>
        <w:tc>
          <w:tcPr>
            <w:tcW w:w="2466" w:type="dxa"/>
            <w:vAlign w:val="center"/>
          </w:tcPr>
          <w:p>
            <w:pPr>
              <w:pStyle w:val="14"/>
            </w:pPr>
            <w:r>
              <w:t>按照网络安全清单在时限内配备系统装备</w:t>
            </w:r>
          </w:p>
        </w:tc>
        <w:tc>
          <w:tcPr>
            <w:tcW w:w="2466" w:type="dxa"/>
            <w:vAlign w:val="center"/>
          </w:tcPr>
          <w:p>
            <w:pPr>
              <w:pStyle w:val="14"/>
            </w:pPr>
            <w:r>
              <w:t>≥95</w:t>
            </w:r>
          </w:p>
        </w:tc>
        <w:tc>
          <w:tcPr>
            <w:tcW w:w="2466" w:type="dxa"/>
            <w:vAlign w:val="center"/>
          </w:tcPr>
          <w:p>
            <w:pPr>
              <w:pStyle w:val="14"/>
            </w:pPr>
            <w:r>
              <w:t>年度工作报告、安全设备及服务采购合同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检察工作网安全保障水平</w:t>
            </w:r>
          </w:p>
        </w:tc>
        <w:tc>
          <w:tcPr>
            <w:tcW w:w="2466" w:type="dxa"/>
            <w:vAlign w:val="center"/>
          </w:tcPr>
          <w:p>
            <w:pPr>
              <w:pStyle w:val="14"/>
            </w:pPr>
            <w:r>
              <w:t>通过安全体系建设，增强检院网络安全技术能力，提升检察工作网安全保障水平，符合网络安全等级保护制度要求。</w:t>
            </w:r>
          </w:p>
        </w:tc>
        <w:tc>
          <w:tcPr>
            <w:tcW w:w="2466" w:type="dxa"/>
            <w:vAlign w:val="center"/>
          </w:tcPr>
          <w:p>
            <w:pPr>
              <w:pStyle w:val="14"/>
            </w:pPr>
            <w:r>
              <w:t>利用信息化手段提高检院协同工作效率</w:t>
            </w:r>
          </w:p>
        </w:tc>
        <w:tc>
          <w:tcPr>
            <w:tcW w:w="2466" w:type="dxa"/>
            <w:vAlign w:val="center"/>
          </w:tcPr>
          <w:p>
            <w:pPr>
              <w:pStyle w:val="14"/>
            </w:pPr>
            <w:r>
              <w:t>年度工作报告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协同工作信息化水平</w:t>
            </w:r>
          </w:p>
        </w:tc>
        <w:tc>
          <w:tcPr>
            <w:tcW w:w="2466" w:type="dxa"/>
            <w:vAlign w:val="center"/>
          </w:tcPr>
          <w:p>
            <w:pPr>
              <w:pStyle w:val="14"/>
            </w:pPr>
            <w:r>
              <w:t>通过邮箱系统应用，更有效地进行检院内部信息流转，提高协同工作效率。</w:t>
            </w:r>
          </w:p>
        </w:tc>
        <w:tc>
          <w:tcPr>
            <w:tcW w:w="2466" w:type="dxa"/>
            <w:vAlign w:val="center"/>
          </w:tcPr>
          <w:p>
            <w:pPr>
              <w:pStyle w:val="14"/>
            </w:pPr>
            <w:r>
              <w:t>加强网络安全建设，通过信息系统安全等级保护测评。</w:t>
            </w:r>
          </w:p>
        </w:tc>
        <w:tc>
          <w:tcPr>
            <w:tcW w:w="2466" w:type="dxa"/>
            <w:vAlign w:val="center"/>
          </w:tcPr>
          <w:p>
            <w:pPr>
              <w:pStyle w:val="14"/>
            </w:pPr>
            <w:r>
              <w:t>年度工作报告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检察工作人员满意度</w:t>
            </w:r>
          </w:p>
        </w:tc>
        <w:tc>
          <w:tcPr>
            <w:tcW w:w="2466" w:type="dxa"/>
            <w:vAlign w:val="center"/>
          </w:tcPr>
          <w:p>
            <w:pPr>
              <w:pStyle w:val="14"/>
            </w:pPr>
            <w:r>
              <w:t>通过信息化手段，提高工作人员沟通协作效率，加强信息网络安全建设，保障检院工作网系统通过等级保护符合性测评。</w:t>
            </w:r>
          </w:p>
        </w:tc>
        <w:tc>
          <w:tcPr>
            <w:tcW w:w="2466" w:type="dxa"/>
            <w:vAlign w:val="center"/>
          </w:tcPr>
          <w:p>
            <w:pPr>
              <w:pStyle w:val="14"/>
            </w:pPr>
            <w:r>
              <w:t>≥90</w:t>
            </w:r>
          </w:p>
        </w:tc>
        <w:tc>
          <w:tcPr>
            <w:tcW w:w="2466" w:type="dxa"/>
            <w:vAlign w:val="center"/>
          </w:tcPr>
          <w:p>
            <w:pPr>
              <w:pStyle w:val="14"/>
            </w:pPr>
            <w:r>
              <w:t>工作总结</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9、新租赁办案和技术用房办案办公设备购置绩效目标表</w:t>
      </w:r>
    </w:p>
    <w:tbl>
      <w:tblPr>
        <w:tblStyle w:val="6"/>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1.配置新租赁的办案和技术用房区域办案设备</w:t>
            </w:r>
            <w:r>
              <w:tab/>
            </w:r>
            <w:r>
              <w:tab/>
            </w:r>
            <w:r>
              <w:tab/>
            </w:r>
            <w:r>
              <w:tab/>
            </w:r>
            <w:r>
              <w:tab/>
            </w:r>
            <w:r>
              <w:tab/>
            </w:r>
          </w:p>
          <w:p>
            <w:pPr>
              <w:pStyle w:val="14"/>
            </w:pPr>
          </w:p>
          <w:p>
            <w:pPr>
              <w:pStyle w:val="14"/>
            </w:pPr>
            <w:r>
              <w:t>2.充分履行检察职能，保障四大检察业务全面协调充分发展</w:t>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按照装备采购计划配备量</w:t>
            </w:r>
          </w:p>
        </w:tc>
        <w:tc>
          <w:tcPr>
            <w:tcW w:w="2466" w:type="dxa"/>
            <w:vAlign w:val="center"/>
          </w:tcPr>
          <w:p>
            <w:pPr>
              <w:pStyle w:val="14"/>
            </w:pPr>
            <w:r>
              <w:t>按照年度装备配备计划配备业务装备数量</w:t>
            </w:r>
          </w:p>
        </w:tc>
        <w:tc>
          <w:tcPr>
            <w:tcW w:w="2466" w:type="dxa"/>
            <w:vAlign w:val="center"/>
          </w:tcPr>
          <w:p>
            <w:pPr>
              <w:pStyle w:val="14"/>
            </w:pPr>
            <w:r>
              <w:t>100</w:t>
            </w:r>
          </w:p>
        </w:tc>
        <w:tc>
          <w:tcPr>
            <w:tcW w:w="2466" w:type="dxa"/>
            <w:vAlign w:val="center"/>
          </w:tcPr>
          <w:p>
            <w:pPr>
              <w:pStyle w:val="14"/>
            </w:pPr>
            <w:r>
              <w:t>采购计划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采购设备合格率</w:t>
            </w:r>
          </w:p>
        </w:tc>
        <w:tc>
          <w:tcPr>
            <w:tcW w:w="2466" w:type="dxa"/>
            <w:vAlign w:val="center"/>
          </w:tcPr>
          <w:p>
            <w:pPr>
              <w:pStyle w:val="14"/>
            </w:pPr>
            <w:r>
              <w:t>保证购置设备质量，提高合格率</w:t>
            </w:r>
            <w:r>
              <w:rPr>
                <w:rFonts w:hint="eastAsia"/>
                <w:lang w:eastAsia="zh-CN"/>
              </w:rPr>
              <w:t>（</w:t>
            </w:r>
            <w:r>
              <w:rPr>
                <w:rFonts w:hint="eastAsia"/>
                <w:lang w:val="en-US" w:eastAsia="zh-CN"/>
              </w:rPr>
              <w:t>%</w:t>
            </w:r>
            <w:r>
              <w:rPr>
                <w:rFonts w:hint="eastAsia"/>
                <w:lang w:eastAsia="zh-CN"/>
              </w:rPr>
              <w:t>）</w:t>
            </w:r>
          </w:p>
        </w:tc>
        <w:tc>
          <w:tcPr>
            <w:tcW w:w="2466" w:type="dxa"/>
            <w:vAlign w:val="center"/>
          </w:tcPr>
          <w:p>
            <w:pPr>
              <w:pStyle w:val="14"/>
            </w:pPr>
            <w:r>
              <w:t>≥95</w:t>
            </w:r>
          </w:p>
        </w:tc>
        <w:tc>
          <w:tcPr>
            <w:tcW w:w="2466" w:type="dxa"/>
            <w:vAlign w:val="center"/>
          </w:tcPr>
          <w:p>
            <w:pPr>
              <w:pStyle w:val="14"/>
            </w:pPr>
            <w:r>
              <w:t>采购计划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按照年度采购计划时限内配备完成率</w:t>
            </w:r>
          </w:p>
        </w:tc>
        <w:tc>
          <w:tcPr>
            <w:tcW w:w="2466" w:type="dxa"/>
            <w:vAlign w:val="center"/>
          </w:tcPr>
          <w:p>
            <w:pPr>
              <w:pStyle w:val="14"/>
            </w:pPr>
            <w:r>
              <w:t>按照年度采购计划在规定时间内完成设备配备</w:t>
            </w:r>
            <w:r>
              <w:rPr>
                <w:rFonts w:hint="eastAsia"/>
                <w:lang w:eastAsia="zh-CN"/>
              </w:rPr>
              <w:t>（</w:t>
            </w:r>
            <w:r>
              <w:rPr>
                <w:rFonts w:hint="eastAsia"/>
                <w:lang w:val="en-US" w:eastAsia="zh-CN"/>
              </w:rPr>
              <w:t>%</w:t>
            </w:r>
            <w:r>
              <w:rPr>
                <w:rFonts w:hint="eastAsia"/>
                <w:lang w:eastAsia="zh-CN"/>
              </w:rPr>
              <w:t>）</w:t>
            </w:r>
            <w:r>
              <w:t>　</w:t>
            </w:r>
          </w:p>
        </w:tc>
        <w:tc>
          <w:tcPr>
            <w:tcW w:w="2466" w:type="dxa"/>
            <w:vAlign w:val="center"/>
          </w:tcPr>
          <w:p>
            <w:pPr>
              <w:pStyle w:val="14"/>
            </w:pPr>
            <w:r>
              <w:t>≥85</w:t>
            </w:r>
          </w:p>
        </w:tc>
        <w:tc>
          <w:tcPr>
            <w:tcW w:w="2466" w:type="dxa"/>
            <w:vAlign w:val="center"/>
          </w:tcPr>
          <w:p>
            <w:pPr>
              <w:pStyle w:val="14"/>
            </w:pPr>
            <w:r>
              <w:t>采购合同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采购成本控制率</w:t>
            </w:r>
          </w:p>
        </w:tc>
        <w:tc>
          <w:tcPr>
            <w:tcW w:w="2466" w:type="dxa"/>
            <w:vAlign w:val="center"/>
          </w:tcPr>
          <w:p>
            <w:pPr>
              <w:pStyle w:val="14"/>
            </w:pPr>
            <w:r>
              <w:t>严格控制采购成本，严禁超预算支出</w:t>
            </w:r>
            <w:r>
              <w:rPr>
                <w:rFonts w:hint="eastAsia"/>
                <w:lang w:eastAsia="zh-CN"/>
              </w:rPr>
              <w:t>（</w:t>
            </w:r>
            <w:r>
              <w:rPr>
                <w:rFonts w:hint="eastAsia"/>
                <w:lang w:val="en-US" w:eastAsia="zh-CN"/>
              </w:rPr>
              <w:t>%</w:t>
            </w:r>
            <w:r>
              <w:rPr>
                <w:rFonts w:hint="eastAsia"/>
                <w:lang w:eastAsia="zh-CN"/>
              </w:rPr>
              <w:t>）</w:t>
            </w:r>
          </w:p>
        </w:tc>
        <w:tc>
          <w:tcPr>
            <w:tcW w:w="2466" w:type="dxa"/>
            <w:vAlign w:val="center"/>
          </w:tcPr>
          <w:p>
            <w:pPr>
              <w:pStyle w:val="14"/>
            </w:pPr>
            <w:r>
              <w:t>≥85</w:t>
            </w:r>
          </w:p>
        </w:tc>
        <w:tc>
          <w:tcPr>
            <w:tcW w:w="2466" w:type="dxa"/>
            <w:vAlign w:val="center"/>
          </w:tcPr>
          <w:p>
            <w:pPr>
              <w:pStyle w:val="14"/>
            </w:pPr>
            <w:r>
              <w:t>决算文本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提高办案效率</w:t>
            </w:r>
          </w:p>
        </w:tc>
        <w:tc>
          <w:tcPr>
            <w:tcW w:w="2466" w:type="dxa"/>
            <w:vAlign w:val="center"/>
          </w:tcPr>
          <w:p>
            <w:pPr>
              <w:pStyle w:val="14"/>
            </w:pPr>
            <w:r>
              <w:t>提高办案效率，保障办案工作发展，推动“四大检察”工作全面协调可持续发展</w:t>
            </w:r>
          </w:p>
        </w:tc>
        <w:tc>
          <w:tcPr>
            <w:tcW w:w="2466" w:type="dxa"/>
            <w:vAlign w:val="center"/>
          </w:tcPr>
          <w:p>
            <w:pPr>
              <w:pStyle w:val="14"/>
            </w:pPr>
            <w:r>
              <w:t>进一步提高</w:t>
            </w:r>
          </w:p>
        </w:tc>
        <w:tc>
          <w:tcPr>
            <w:tcW w:w="2466" w:type="dxa"/>
            <w:vAlign w:val="center"/>
          </w:tcPr>
          <w:p>
            <w:pPr>
              <w:pStyle w:val="14"/>
            </w:pPr>
            <w:r>
              <w:t>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提高司法公信力</w:t>
            </w:r>
          </w:p>
        </w:tc>
        <w:tc>
          <w:tcPr>
            <w:tcW w:w="2466" w:type="dxa"/>
            <w:vAlign w:val="center"/>
          </w:tcPr>
          <w:p>
            <w:pPr>
              <w:pStyle w:val="14"/>
            </w:pPr>
            <w:r>
              <w:t>通过配置办案设备提高办案水平，提升司法公信力</w:t>
            </w:r>
          </w:p>
        </w:tc>
        <w:tc>
          <w:tcPr>
            <w:tcW w:w="2466" w:type="dxa"/>
            <w:vAlign w:val="center"/>
          </w:tcPr>
          <w:p>
            <w:pPr>
              <w:pStyle w:val="14"/>
            </w:pPr>
            <w:r>
              <w:t>进一步提高</w:t>
            </w:r>
          </w:p>
        </w:tc>
        <w:tc>
          <w:tcPr>
            <w:tcW w:w="2466" w:type="dxa"/>
            <w:vAlign w:val="center"/>
          </w:tcPr>
          <w:p>
            <w:pPr>
              <w:pStyle w:val="14"/>
            </w:pPr>
            <w:r>
              <w:t>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配发对象满意度</w:t>
            </w:r>
          </w:p>
        </w:tc>
        <w:tc>
          <w:tcPr>
            <w:tcW w:w="2466" w:type="dxa"/>
            <w:vAlign w:val="center"/>
          </w:tcPr>
          <w:p>
            <w:pPr>
              <w:pStyle w:val="14"/>
            </w:pPr>
            <w:r>
              <w:t>设备使用对象满意度　</w:t>
            </w:r>
          </w:p>
        </w:tc>
        <w:tc>
          <w:tcPr>
            <w:tcW w:w="2466" w:type="dxa"/>
            <w:vAlign w:val="center"/>
          </w:tcPr>
          <w:p>
            <w:pPr>
              <w:pStyle w:val="14"/>
            </w:pPr>
            <w:r>
              <w:t>≥85</w:t>
            </w:r>
          </w:p>
        </w:tc>
        <w:tc>
          <w:tcPr>
            <w:tcW w:w="2466" w:type="dxa"/>
            <w:vAlign w:val="center"/>
          </w:tcPr>
          <w:p>
            <w:pPr>
              <w:pStyle w:val="14"/>
            </w:pPr>
            <w:r>
              <w:t>意见反馈</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10、信息化线路租赁费绩效目标表</w:t>
      </w:r>
    </w:p>
    <w:tbl>
      <w:tblPr>
        <w:tblStyle w:val="6"/>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1.租用线路实现检察工作信息化，提高办案质效　</w:t>
            </w:r>
            <w:r>
              <w:tab/>
            </w:r>
            <w:r>
              <w:tab/>
            </w:r>
            <w:r>
              <w:tab/>
            </w:r>
            <w:r>
              <w:tab/>
            </w:r>
            <w:r>
              <w:tab/>
            </w:r>
            <w:r>
              <w:tab/>
            </w:r>
          </w:p>
          <w:p>
            <w:pPr>
              <w:pStyle w:val="14"/>
            </w:pPr>
          </w:p>
          <w:p>
            <w:pPr>
              <w:pStyle w:val="14"/>
            </w:pPr>
            <w:r>
              <w:t>2.购买社会服务，保障全媒体中心正常运营，加强舆情监控和分析应用</w:t>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租用线路数</w:t>
            </w:r>
          </w:p>
        </w:tc>
        <w:tc>
          <w:tcPr>
            <w:tcW w:w="2466" w:type="dxa"/>
            <w:vAlign w:val="center"/>
          </w:tcPr>
          <w:p>
            <w:pPr>
              <w:pStyle w:val="14"/>
            </w:pPr>
            <w:r>
              <w:t>实现和新区数据中心、三县院及法律监督对象的互联互通，实现信息共享　</w:t>
            </w:r>
          </w:p>
        </w:tc>
        <w:tc>
          <w:tcPr>
            <w:tcW w:w="2466" w:type="dxa"/>
            <w:vAlign w:val="center"/>
          </w:tcPr>
          <w:p>
            <w:pPr>
              <w:pStyle w:val="14"/>
            </w:pPr>
            <w:r>
              <w:t>12条</w:t>
            </w:r>
          </w:p>
        </w:tc>
        <w:tc>
          <w:tcPr>
            <w:tcW w:w="2466" w:type="dxa"/>
            <w:vAlign w:val="center"/>
          </w:tcPr>
          <w:p>
            <w:pPr>
              <w:pStyle w:val="14"/>
            </w:pPr>
            <w:r>
              <w:t>年初工作计划、线路租赁合同、年终工作报告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线路匹配度</w:t>
            </w:r>
          </w:p>
        </w:tc>
        <w:tc>
          <w:tcPr>
            <w:tcW w:w="2466" w:type="dxa"/>
            <w:vAlign w:val="center"/>
          </w:tcPr>
          <w:p>
            <w:pPr>
              <w:pStyle w:val="14"/>
            </w:pPr>
            <w:r>
              <w:t>租用线路与各数据端口进行顺利联通，与软硬件能够兼容　</w:t>
            </w:r>
          </w:p>
        </w:tc>
        <w:tc>
          <w:tcPr>
            <w:tcW w:w="2466" w:type="dxa"/>
            <w:vAlign w:val="center"/>
          </w:tcPr>
          <w:p>
            <w:pPr>
              <w:pStyle w:val="14"/>
            </w:pPr>
            <w:r>
              <w:t>100</w:t>
            </w:r>
          </w:p>
        </w:tc>
        <w:tc>
          <w:tcPr>
            <w:tcW w:w="2466" w:type="dxa"/>
            <w:vAlign w:val="center"/>
          </w:tcPr>
          <w:p>
            <w:pPr>
              <w:pStyle w:val="14"/>
            </w:pPr>
            <w:r>
              <w:t>年度工作报告、线路租赁合同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预算执行率（%）</w:t>
            </w:r>
          </w:p>
        </w:tc>
        <w:tc>
          <w:tcPr>
            <w:tcW w:w="2466" w:type="dxa"/>
            <w:vAlign w:val="center"/>
          </w:tcPr>
          <w:p>
            <w:pPr>
              <w:pStyle w:val="14"/>
            </w:pPr>
            <w:r>
              <w:t>预算执行率（%）</w:t>
            </w:r>
          </w:p>
        </w:tc>
        <w:tc>
          <w:tcPr>
            <w:tcW w:w="2466" w:type="dxa"/>
            <w:vAlign w:val="center"/>
          </w:tcPr>
          <w:p>
            <w:pPr>
              <w:pStyle w:val="14"/>
            </w:pPr>
            <w:r>
              <w:t>≥90</w:t>
            </w:r>
          </w:p>
        </w:tc>
        <w:tc>
          <w:tcPr>
            <w:tcW w:w="2466" w:type="dxa"/>
            <w:vAlign w:val="center"/>
          </w:tcPr>
          <w:p>
            <w:pPr>
              <w:pStyle w:val="14"/>
            </w:pPr>
            <w:r>
              <w:t>年度决算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报修及时恢复率　</w:t>
            </w:r>
          </w:p>
        </w:tc>
        <w:tc>
          <w:tcPr>
            <w:tcW w:w="2466" w:type="dxa"/>
            <w:vAlign w:val="center"/>
          </w:tcPr>
          <w:p>
            <w:pPr>
              <w:pStyle w:val="14"/>
            </w:pPr>
            <w:r>
              <w:t>线路出现故障报修后维修人员能够及时修复，达到正常使用状态，避免耽误工作　</w:t>
            </w:r>
          </w:p>
        </w:tc>
        <w:tc>
          <w:tcPr>
            <w:tcW w:w="2466" w:type="dxa"/>
            <w:vAlign w:val="center"/>
          </w:tcPr>
          <w:p>
            <w:pPr>
              <w:pStyle w:val="14"/>
            </w:pPr>
            <w:r>
              <w:t>≥95</w:t>
            </w:r>
          </w:p>
        </w:tc>
        <w:tc>
          <w:tcPr>
            <w:tcW w:w="2466" w:type="dxa"/>
            <w:vAlign w:val="center"/>
          </w:tcPr>
          <w:p>
            <w:pPr>
              <w:pStyle w:val="14"/>
            </w:pPr>
            <w:r>
              <w:t>年度工作报告，线路租赁合同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法律工作信息化水平</w:t>
            </w:r>
          </w:p>
        </w:tc>
        <w:tc>
          <w:tcPr>
            <w:tcW w:w="2466" w:type="dxa"/>
            <w:vAlign w:val="center"/>
          </w:tcPr>
          <w:p>
            <w:pPr>
              <w:pStyle w:val="14"/>
            </w:pPr>
            <w:r>
              <w:t>通过信息化技术应用，更有效地进行法律监督工作，提高工作质效　</w:t>
            </w:r>
          </w:p>
        </w:tc>
        <w:tc>
          <w:tcPr>
            <w:tcW w:w="2466" w:type="dxa"/>
            <w:vAlign w:val="center"/>
          </w:tcPr>
          <w:p>
            <w:pPr>
              <w:pStyle w:val="14"/>
            </w:pPr>
            <w:r>
              <w:t>利用信息化手段提高法律监督工作质效</w:t>
            </w:r>
          </w:p>
        </w:tc>
        <w:tc>
          <w:tcPr>
            <w:tcW w:w="2466" w:type="dxa"/>
            <w:vAlign w:val="center"/>
          </w:tcPr>
          <w:p>
            <w:pPr>
              <w:pStyle w:val="14"/>
            </w:pPr>
            <w:r>
              <w:t>年度工作报告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明确工作重点</w:t>
            </w:r>
          </w:p>
        </w:tc>
        <w:tc>
          <w:tcPr>
            <w:tcW w:w="2466" w:type="dxa"/>
            <w:vAlign w:val="center"/>
          </w:tcPr>
          <w:p>
            <w:pPr>
              <w:pStyle w:val="14"/>
            </w:pPr>
            <w:r>
              <w:t>通过全媒体中心运维管理，加强媒体法制宣传力度　</w:t>
            </w:r>
          </w:p>
        </w:tc>
        <w:tc>
          <w:tcPr>
            <w:tcW w:w="2466" w:type="dxa"/>
            <w:vAlign w:val="center"/>
          </w:tcPr>
          <w:p>
            <w:pPr>
              <w:pStyle w:val="14"/>
            </w:pPr>
            <w:r>
              <w:t>加强媒体法制宣传力度　</w:t>
            </w:r>
          </w:p>
        </w:tc>
        <w:tc>
          <w:tcPr>
            <w:tcW w:w="2466" w:type="dxa"/>
            <w:vAlign w:val="center"/>
          </w:tcPr>
          <w:p>
            <w:pPr>
              <w:pStyle w:val="14"/>
            </w:pPr>
            <w:r>
              <w:t>年度工作报告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检察工作人员满意度</w:t>
            </w:r>
          </w:p>
        </w:tc>
        <w:tc>
          <w:tcPr>
            <w:tcW w:w="2466" w:type="dxa"/>
            <w:vAlign w:val="center"/>
          </w:tcPr>
          <w:p>
            <w:pPr>
              <w:pStyle w:val="14"/>
            </w:pPr>
            <w:r>
              <w:t>通过信息化手段，扩宽工作人员信息渠道，减少数据重复处理，提高工作效率</w:t>
            </w:r>
          </w:p>
        </w:tc>
        <w:tc>
          <w:tcPr>
            <w:tcW w:w="2466" w:type="dxa"/>
            <w:vAlign w:val="center"/>
          </w:tcPr>
          <w:p>
            <w:pPr>
              <w:pStyle w:val="14"/>
            </w:pPr>
            <w:r>
              <w:t>≥90</w:t>
            </w:r>
          </w:p>
        </w:tc>
        <w:tc>
          <w:tcPr>
            <w:tcW w:w="2466" w:type="dxa"/>
            <w:vAlign w:val="center"/>
          </w:tcPr>
          <w:p>
            <w:pPr>
              <w:pStyle w:val="14"/>
            </w:pPr>
            <w:r>
              <w:t>工作人员对线路使用满意度评估报告　</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11、信息化运维费绩效目标表</w:t>
      </w:r>
    </w:p>
    <w:tbl>
      <w:tblPr>
        <w:tblStyle w:val="6"/>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1.确保我院除基础信息化外的信息化软硬件设备日常能够正常运转，遇到问题及时解决，保障网络通畅。</w:t>
            </w:r>
            <w:r>
              <w:tab/>
            </w:r>
            <w:r>
              <w:tab/>
            </w:r>
            <w:r>
              <w:tab/>
            </w:r>
            <w:r>
              <w:tab/>
            </w:r>
            <w:r>
              <w:tab/>
            </w:r>
            <w:r>
              <w:tab/>
            </w:r>
          </w:p>
          <w:p>
            <w:pPr>
              <w:pStyle w:val="14"/>
            </w:pPr>
          </w:p>
          <w:p>
            <w:pPr>
              <w:pStyle w:val="14"/>
            </w:pPr>
            <w:r>
              <w:t>2.通过购买运维服务，确保上级统一部署的统一业务软件2.0等软件系统正常高效运转。</w:t>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数量　</w:t>
            </w:r>
          </w:p>
        </w:tc>
        <w:tc>
          <w:tcPr>
            <w:tcW w:w="2466" w:type="dxa"/>
            <w:vAlign w:val="center"/>
          </w:tcPr>
          <w:p>
            <w:pPr>
              <w:pStyle w:val="14"/>
            </w:pPr>
            <w:r>
              <w:t>运维工作的数量</w:t>
            </w:r>
          </w:p>
        </w:tc>
        <w:tc>
          <w:tcPr>
            <w:tcW w:w="2466" w:type="dxa"/>
            <w:vAlign w:val="center"/>
          </w:tcPr>
          <w:p>
            <w:pPr>
              <w:pStyle w:val="14"/>
            </w:pPr>
            <w:r>
              <w:t>≥2000对我院息</w:t>
            </w:r>
          </w:p>
          <w:p>
            <w:pPr>
              <w:pStyle w:val="14"/>
            </w:pPr>
            <w:r>
              <w:t>化软硬件设备日</w:t>
            </w:r>
          </w:p>
          <w:p>
            <w:pPr>
              <w:pStyle w:val="14"/>
            </w:pPr>
            <w:r>
              <w:t>常维护、升级保障次数</w:t>
            </w:r>
          </w:p>
        </w:tc>
        <w:tc>
          <w:tcPr>
            <w:tcW w:w="2466" w:type="dxa"/>
            <w:vAlign w:val="center"/>
          </w:tcPr>
          <w:p>
            <w:pPr>
              <w:pStyle w:val="14"/>
            </w:pPr>
            <w:r>
              <w:t>2022 年年度运维报告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运维事故</w:t>
            </w:r>
          </w:p>
        </w:tc>
        <w:tc>
          <w:tcPr>
            <w:tcW w:w="2466" w:type="dxa"/>
            <w:vAlign w:val="center"/>
          </w:tcPr>
          <w:p>
            <w:pPr>
              <w:pStyle w:val="14"/>
            </w:pPr>
            <w:r>
              <w:t>因运维不利产生事故</w:t>
            </w:r>
          </w:p>
        </w:tc>
        <w:tc>
          <w:tcPr>
            <w:tcW w:w="2466" w:type="dxa"/>
            <w:vAlign w:val="center"/>
          </w:tcPr>
          <w:p>
            <w:pPr>
              <w:pStyle w:val="14"/>
            </w:pPr>
            <w:r>
              <w:t>&lt;1因运维工作不利造成不可挽回的损失认定为事故</w:t>
            </w:r>
          </w:p>
        </w:tc>
        <w:tc>
          <w:tcPr>
            <w:tcW w:w="2466" w:type="dxa"/>
            <w:vAlign w:val="center"/>
          </w:tcPr>
          <w:p>
            <w:pPr>
              <w:pStyle w:val="14"/>
            </w:pPr>
            <w:r>
              <w:t>2022年年度运维报告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问题解决率　</w:t>
            </w:r>
          </w:p>
        </w:tc>
        <w:tc>
          <w:tcPr>
            <w:tcW w:w="2466" w:type="dxa"/>
            <w:vAlign w:val="center"/>
          </w:tcPr>
          <w:p>
            <w:pPr>
              <w:pStyle w:val="14"/>
            </w:pPr>
            <w:r>
              <w:t>运维问题当日解决率</w:t>
            </w:r>
          </w:p>
        </w:tc>
        <w:tc>
          <w:tcPr>
            <w:tcW w:w="2466" w:type="dxa"/>
            <w:vAlign w:val="center"/>
          </w:tcPr>
          <w:p>
            <w:pPr>
              <w:pStyle w:val="14"/>
            </w:pPr>
            <w:r>
              <w:t>≥90解决问题占全部运维问题的比率</w:t>
            </w:r>
          </w:p>
        </w:tc>
        <w:tc>
          <w:tcPr>
            <w:tcW w:w="2466" w:type="dxa"/>
            <w:vAlign w:val="center"/>
          </w:tcPr>
          <w:p>
            <w:pPr>
              <w:pStyle w:val="14"/>
            </w:pPr>
            <w:r>
              <w:t>日常运维报告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设备配件更换率</w:t>
            </w:r>
          </w:p>
        </w:tc>
        <w:tc>
          <w:tcPr>
            <w:tcW w:w="2466" w:type="dxa"/>
            <w:vAlign w:val="center"/>
          </w:tcPr>
          <w:p>
            <w:pPr>
              <w:pStyle w:val="14"/>
            </w:pPr>
            <w:r>
              <w:t>运维较好，减少设备更换</w:t>
            </w:r>
          </w:p>
        </w:tc>
        <w:tc>
          <w:tcPr>
            <w:tcW w:w="2466" w:type="dxa"/>
            <w:vAlign w:val="center"/>
          </w:tcPr>
          <w:p>
            <w:pPr>
              <w:pStyle w:val="14"/>
            </w:pPr>
            <w:r>
              <w:t>≤10通过运维，使得设备更换减少，更换比率降低</w:t>
            </w:r>
          </w:p>
        </w:tc>
        <w:tc>
          <w:tcPr>
            <w:tcW w:w="2466" w:type="dxa"/>
            <w:vAlign w:val="center"/>
          </w:tcPr>
          <w:p>
            <w:pPr>
              <w:pStyle w:val="14"/>
            </w:pPr>
            <w:r>
              <w:t>日常运维报告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可持续影响指标</w:t>
            </w:r>
          </w:p>
        </w:tc>
        <w:tc>
          <w:tcPr>
            <w:tcW w:w="2466" w:type="dxa"/>
            <w:vAlign w:val="center"/>
          </w:tcPr>
          <w:p>
            <w:pPr>
              <w:pStyle w:val="14"/>
            </w:pPr>
            <w:r>
              <w:t>设备故障再发生率</w:t>
            </w:r>
          </w:p>
        </w:tc>
        <w:tc>
          <w:tcPr>
            <w:tcW w:w="2466" w:type="dxa"/>
            <w:vAlign w:val="center"/>
          </w:tcPr>
          <w:p>
            <w:pPr>
              <w:pStyle w:val="14"/>
            </w:pPr>
            <w:r>
              <w:t>运维所涉信息化设备多次发生同种故障率</w:t>
            </w:r>
          </w:p>
        </w:tc>
        <w:tc>
          <w:tcPr>
            <w:tcW w:w="2466" w:type="dxa"/>
            <w:vAlign w:val="center"/>
          </w:tcPr>
          <w:p>
            <w:pPr>
              <w:pStyle w:val="14"/>
            </w:pPr>
            <w:r>
              <w:t>≤30运维所涉信息化设备多次发生同种故障率</w:t>
            </w:r>
          </w:p>
        </w:tc>
        <w:tc>
          <w:tcPr>
            <w:tcW w:w="2466" w:type="dxa"/>
            <w:vAlign w:val="center"/>
          </w:tcPr>
          <w:p>
            <w:pPr>
              <w:pStyle w:val="14"/>
            </w:pPr>
            <w:r>
              <w:t>2022 年年度运维报告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可持续性服务</w:t>
            </w:r>
          </w:p>
        </w:tc>
        <w:tc>
          <w:tcPr>
            <w:tcW w:w="2466" w:type="dxa"/>
            <w:vAlign w:val="center"/>
          </w:tcPr>
          <w:p>
            <w:pPr>
              <w:pStyle w:val="14"/>
            </w:pPr>
            <w:r>
              <w:t>可持续性服务</w:t>
            </w:r>
          </w:p>
        </w:tc>
        <w:tc>
          <w:tcPr>
            <w:tcW w:w="2466" w:type="dxa"/>
            <w:vAlign w:val="center"/>
          </w:tcPr>
          <w:p>
            <w:pPr>
              <w:pStyle w:val="14"/>
            </w:pPr>
            <w:r>
              <w:t>持续保障运维服务</w:t>
            </w:r>
          </w:p>
        </w:tc>
        <w:tc>
          <w:tcPr>
            <w:tcW w:w="2466" w:type="dxa"/>
            <w:vAlign w:val="center"/>
          </w:tcPr>
          <w:p>
            <w:pPr>
              <w:pStyle w:val="14"/>
            </w:pPr>
            <w:r>
              <w:t>日常运维报告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运维服务满意度</w:t>
            </w:r>
          </w:p>
        </w:tc>
        <w:tc>
          <w:tcPr>
            <w:tcW w:w="2466" w:type="dxa"/>
            <w:vAlign w:val="center"/>
          </w:tcPr>
          <w:p>
            <w:pPr>
              <w:pStyle w:val="14"/>
            </w:pPr>
            <w:r>
              <w:t>全院干警对本院运维的满意度</w:t>
            </w:r>
          </w:p>
        </w:tc>
        <w:tc>
          <w:tcPr>
            <w:tcW w:w="2466" w:type="dxa"/>
            <w:vAlign w:val="center"/>
          </w:tcPr>
          <w:p>
            <w:pPr>
              <w:pStyle w:val="14"/>
            </w:pPr>
            <w:r>
              <w:t>≥90全院干警对运维的满意度</w:t>
            </w:r>
          </w:p>
        </w:tc>
        <w:tc>
          <w:tcPr>
            <w:tcW w:w="2466" w:type="dxa"/>
            <w:vAlign w:val="center"/>
          </w:tcPr>
          <w:p>
            <w:pPr>
              <w:pStyle w:val="14"/>
            </w:pPr>
            <w:r>
              <w:t>年终考核及年度报告</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12、异地任职干部住房租赁绩效目标表</w:t>
      </w:r>
    </w:p>
    <w:tbl>
      <w:tblPr>
        <w:tblStyle w:val="6"/>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1.保障单位工作人员在职在编期间正常居住　</w:t>
            </w:r>
            <w:r>
              <w:tab/>
            </w:r>
            <w:r>
              <w:tab/>
            </w:r>
            <w:r>
              <w:tab/>
            </w:r>
            <w:r>
              <w:tab/>
            </w:r>
            <w:r>
              <w:tab/>
            </w:r>
            <w:r>
              <w:tab/>
            </w:r>
          </w:p>
          <w:p>
            <w:pPr>
              <w:pStyle w:val="14"/>
            </w:pPr>
          </w:p>
          <w:p>
            <w:pPr>
              <w:pStyle w:val="14"/>
            </w:pPr>
            <w:r>
              <w:t>2.按文件要求合理规范租赁住房　</w:t>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保障人数</w:t>
            </w:r>
          </w:p>
        </w:tc>
        <w:tc>
          <w:tcPr>
            <w:tcW w:w="2466" w:type="dxa"/>
            <w:vAlign w:val="center"/>
          </w:tcPr>
          <w:p>
            <w:pPr>
              <w:pStyle w:val="14"/>
            </w:pPr>
            <w:r>
              <w:t>适用此项目的人数　</w:t>
            </w:r>
          </w:p>
        </w:tc>
        <w:tc>
          <w:tcPr>
            <w:tcW w:w="2466" w:type="dxa"/>
            <w:vAlign w:val="center"/>
          </w:tcPr>
          <w:p>
            <w:pPr>
              <w:pStyle w:val="14"/>
            </w:pPr>
            <w:r>
              <w:t>29人</w:t>
            </w:r>
          </w:p>
        </w:tc>
        <w:tc>
          <w:tcPr>
            <w:tcW w:w="2466" w:type="dxa"/>
            <w:vAlign w:val="center"/>
          </w:tcPr>
          <w:p>
            <w:pPr>
              <w:pStyle w:val="14"/>
            </w:pPr>
            <w:r>
              <w:t>人员编制卡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房屋合格率　</w:t>
            </w:r>
          </w:p>
        </w:tc>
        <w:tc>
          <w:tcPr>
            <w:tcW w:w="2466" w:type="dxa"/>
            <w:vAlign w:val="center"/>
          </w:tcPr>
          <w:p>
            <w:pPr>
              <w:pStyle w:val="14"/>
            </w:pPr>
            <w:r>
              <w:t>租赁的住房符合入住要求</w:t>
            </w:r>
            <w:r>
              <w:rPr>
                <w:rFonts w:hint="eastAsia"/>
                <w:lang w:eastAsia="zh-CN"/>
              </w:rPr>
              <w:t>（</w:t>
            </w:r>
            <w:r>
              <w:rPr>
                <w:rFonts w:hint="eastAsia"/>
                <w:lang w:val="en-US" w:eastAsia="zh-CN"/>
              </w:rPr>
              <w:t>%</w:t>
            </w:r>
            <w:r>
              <w:rPr>
                <w:rFonts w:hint="eastAsia"/>
                <w:lang w:eastAsia="zh-CN"/>
              </w:rPr>
              <w:t>）</w:t>
            </w:r>
            <w:r>
              <w:t>　</w:t>
            </w:r>
          </w:p>
        </w:tc>
        <w:tc>
          <w:tcPr>
            <w:tcW w:w="2466" w:type="dxa"/>
            <w:vAlign w:val="center"/>
          </w:tcPr>
          <w:p>
            <w:pPr>
              <w:pStyle w:val="14"/>
            </w:pPr>
            <w:r>
              <w:t>100</w:t>
            </w:r>
          </w:p>
        </w:tc>
        <w:tc>
          <w:tcPr>
            <w:tcW w:w="2466" w:type="dxa"/>
            <w:vAlign w:val="center"/>
          </w:tcPr>
          <w:p>
            <w:pPr>
              <w:pStyle w:val="14"/>
            </w:pPr>
            <w:r>
              <w:t>租赁合同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入住率</w:t>
            </w:r>
          </w:p>
        </w:tc>
        <w:tc>
          <w:tcPr>
            <w:tcW w:w="2466" w:type="dxa"/>
            <w:vAlign w:val="center"/>
          </w:tcPr>
          <w:p>
            <w:pPr>
              <w:pStyle w:val="14"/>
            </w:pPr>
            <w:r>
              <w:t>时效内房屋入住率</w:t>
            </w:r>
            <w:r>
              <w:rPr>
                <w:rFonts w:hint="eastAsia"/>
                <w:lang w:eastAsia="zh-CN"/>
              </w:rPr>
              <w:t>（</w:t>
            </w:r>
            <w:r>
              <w:rPr>
                <w:rFonts w:hint="eastAsia"/>
                <w:lang w:val="en-US" w:eastAsia="zh-CN"/>
              </w:rPr>
              <w:t>%</w:t>
            </w:r>
            <w:r>
              <w:rPr>
                <w:rFonts w:hint="eastAsia"/>
                <w:lang w:eastAsia="zh-CN"/>
              </w:rPr>
              <w:t>）</w:t>
            </w:r>
          </w:p>
        </w:tc>
        <w:tc>
          <w:tcPr>
            <w:tcW w:w="2466" w:type="dxa"/>
            <w:vAlign w:val="center"/>
          </w:tcPr>
          <w:p>
            <w:pPr>
              <w:pStyle w:val="14"/>
            </w:pPr>
            <w:r>
              <w:t>≥95</w:t>
            </w:r>
          </w:p>
        </w:tc>
        <w:tc>
          <w:tcPr>
            <w:tcW w:w="2466" w:type="dxa"/>
            <w:vAlign w:val="center"/>
          </w:tcPr>
          <w:p>
            <w:pPr>
              <w:pStyle w:val="14"/>
            </w:pPr>
            <w:r>
              <w:t>租赁合同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预算成本控制</w:t>
            </w:r>
          </w:p>
        </w:tc>
        <w:tc>
          <w:tcPr>
            <w:tcW w:w="2466" w:type="dxa"/>
            <w:vAlign w:val="center"/>
          </w:tcPr>
          <w:p>
            <w:pPr>
              <w:pStyle w:val="14"/>
            </w:pPr>
            <w:r>
              <w:t>租房成本控制在预算数内</w:t>
            </w:r>
          </w:p>
        </w:tc>
        <w:tc>
          <w:tcPr>
            <w:tcW w:w="2466" w:type="dxa"/>
            <w:vAlign w:val="center"/>
          </w:tcPr>
          <w:p>
            <w:pPr>
              <w:pStyle w:val="14"/>
            </w:pPr>
            <w:r>
              <w:t>≤49万</w:t>
            </w:r>
          </w:p>
        </w:tc>
        <w:tc>
          <w:tcPr>
            <w:tcW w:w="2466" w:type="dxa"/>
            <w:vAlign w:val="center"/>
          </w:tcPr>
          <w:p>
            <w:pPr>
              <w:pStyle w:val="14"/>
            </w:pPr>
            <w:r>
              <w:t>决算文本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工作影响力</w:t>
            </w:r>
          </w:p>
        </w:tc>
        <w:tc>
          <w:tcPr>
            <w:tcW w:w="2466" w:type="dxa"/>
            <w:vAlign w:val="center"/>
          </w:tcPr>
          <w:p>
            <w:pPr>
              <w:pStyle w:val="14"/>
            </w:pPr>
            <w:r>
              <w:t>提升单位对于干警的影响力</w:t>
            </w:r>
          </w:p>
        </w:tc>
        <w:tc>
          <w:tcPr>
            <w:tcW w:w="2466" w:type="dxa"/>
            <w:vAlign w:val="center"/>
          </w:tcPr>
          <w:p>
            <w:pPr>
              <w:pStyle w:val="14"/>
            </w:pPr>
            <w:r>
              <w:t>进一步提高</w:t>
            </w:r>
          </w:p>
        </w:tc>
        <w:tc>
          <w:tcPr>
            <w:tcW w:w="2466" w:type="dxa"/>
            <w:vAlign w:val="center"/>
          </w:tcPr>
          <w:p>
            <w:pPr>
              <w:pStyle w:val="14"/>
            </w:pPr>
            <w:r>
              <w:t>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保障工作稳定</w:t>
            </w:r>
          </w:p>
        </w:tc>
        <w:tc>
          <w:tcPr>
            <w:tcW w:w="2466" w:type="dxa"/>
            <w:vAlign w:val="center"/>
          </w:tcPr>
          <w:p>
            <w:pPr>
              <w:pStyle w:val="14"/>
            </w:pPr>
            <w:r>
              <w:t>保障了干警日常生活，可以稳定工作状态</w:t>
            </w:r>
          </w:p>
        </w:tc>
        <w:tc>
          <w:tcPr>
            <w:tcW w:w="2466" w:type="dxa"/>
            <w:vAlign w:val="center"/>
          </w:tcPr>
          <w:p>
            <w:pPr>
              <w:pStyle w:val="14"/>
            </w:pPr>
            <w:r>
              <w:t>提高工作效率</w:t>
            </w:r>
          </w:p>
        </w:tc>
        <w:tc>
          <w:tcPr>
            <w:tcW w:w="2466" w:type="dxa"/>
            <w:vAlign w:val="center"/>
          </w:tcPr>
          <w:p>
            <w:pPr>
              <w:pStyle w:val="14"/>
            </w:pPr>
            <w:r>
              <w:t>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住房干警满意度</w:t>
            </w:r>
          </w:p>
        </w:tc>
        <w:tc>
          <w:tcPr>
            <w:tcW w:w="2466" w:type="dxa"/>
            <w:vAlign w:val="center"/>
          </w:tcPr>
          <w:p>
            <w:pPr>
              <w:pStyle w:val="14"/>
            </w:pPr>
            <w:r>
              <w:t>住房干警对房屋配置满意度</w:t>
            </w:r>
          </w:p>
        </w:tc>
        <w:tc>
          <w:tcPr>
            <w:tcW w:w="2466" w:type="dxa"/>
            <w:vAlign w:val="center"/>
          </w:tcPr>
          <w:p>
            <w:pPr>
              <w:pStyle w:val="14"/>
            </w:pPr>
            <w:r>
              <w:t>≥85</w:t>
            </w:r>
            <w:bookmarkStart w:id="18" w:name="_GoBack"/>
            <w:bookmarkEnd w:id="18"/>
          </w:p>
        </w:tc>
        <w:tc>
          <w:tcPr>
            <w:tcW w:w="2466" w:type="dxa"/>
            <w:vAlign w:val="center"/>
          </w:tcPr>
          <w:p>
            <w:pPr>
              <w:pStyle w:val="14"/>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13、招录辅助人员工资绩效目标表</w:t>
      </w:r>
    </w:p>
    <w:tbl>
      <w:tblPr>
        <w:tblStyle w:val="6"/>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1.及时准确发放工资，足额缴纳保险，确保司法辅助人员待遇。　</w:t>
            </w:r>
            <w:r>
              <w:tab/>
            </w:r>
            <w:r>
              <w:tab/>
            </w:r>
            <w:r>
              <w:tab/>
            </w:r>
            <w:r>
              <w:tab/>
            </w:r>
            <w:r>
              <w:tab/>
            </w:r>
            <w:r>
              <w:tab/>
            </w:r>
          </w:p>
          <w:p>
            <w:pPr>
              <w:pStyle w:val="14"/>
            </w:pPr>
          </w:p>
          <w:p>
            <w:pPr>
              <w:pStyle w:val="14"/>
            </w:pPr>
            <w:r>
              <w:t>2.规范人员管理和考核，实现司法辅助人员工作价值，有效推进检察工作开展。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足额保障</w:t>
            </w:r>
          </w:p>
        </w:tc>
        <w:tc>
          <w:tcPr>
            <w:tcW w:w="2466" w:type="dxa"/>
            <w:vAlign w:val="center"/>
          </w:tcPr>
          <w:p>
            <w:pPr>
              <w:pStyle w:val="14"/>
            </w:pPr>
            <w:r>
              <w:t>足额发放工资，缴纳保险</w:t>
            </w:r>
          </w:p>
        </w:tc>
        <w:tc>
          <w:tcPr>
            <w:tcW w:w="2466" w:type="dxa"/>
            <w:vAlign w:val="center"/>
          </w:tcPr>
          <w:p>
            <w:pPr>
              <w:pStyle w:val="14"/>
            </w:pPr>
            <w:r>
              <w:t>足额发放工资，缴纳保险</w:t>
            </w:r>
          </w:p>
        </w:tc>
        <w:tc>
          <w:tcPr>
            <w:tcW w:w="2466" w:type="dxa"/>
            <w:vAlign w:val="center"/>
          </w:tcPr>
          <w:p>
            <w:pPr>
              <w:pStyle w:val="14"/>
            </w:pPr>
            <w:r>
              <w:t>人事部门提供工资表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保障招录人员质量</w:t>
            </w:r>
          </w:p>
        </w:tc>
        <w:tc>
          <w:tcPr>
            <w:tcW w:w="2466" w:type="dxa"/>
            <w:vAlign w:val="center"/>
          </w:tcPr>
          <w:p>
            <w:pPr>
              <w:pStyle w:val="14"/>
            </w:pPr>
            <w:r>
              <w:t>招录人员符合招录条件</w:t>
            </w:r>
          </w:p>
        </w:tc>
        <w:tc>
          <w:tcPr>
            <w:tcW w:w="2466" w:type="dxa"/>
            <w:vAlign w:val="center"/>
          </w:tcPr>
          <w:p>
            <w:pPr>
              <w:pStyle w:val="14"/>
            </w:pPr>
            <w:r>
              <w:t>≥90%</w:t>
            </w:r>
          </w:p>
        </w:tc>
        <w:tc>
          <w:tcPr>
            <w:tcW w:w="2466" w:type="dxa"/>
            <w:vAlign w:val="center"/>
          </w:tcPr>
          <w:p>
            <w:pPr>
              <w:pStyle w:val="14"/>
            </w:pPr>
            <w:r>
              <w:t>招录计划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工资到位率</w:t>
            </w:r>
          </w:p>
        </w:tc>
        <w:tc>
          <w:tcPr>
            <w:tcW w:w="2466" w:type="dxa"/>
            <w:vAlign w:val="center"/>
          </w:tcPr>
          <w:p>
            <w:pPr>
              <w:pStyle w:val="14"/>
            </w:pPr>
            <w:r>
              <w:t>按时发放到位情况</w:t>
            </w:r>
          </w:p>
        </w:tc>
        <w:tc>
          <w:tcPr>
            <w:tcW w:w="2466" w:type="dxa"/>
            <w:vAlign w:val="center"/>
          </w:tcPr>
          <w:p>
            <w:pPr>
              <w:pStyle w:val="14"/>
            </w:pPr>
            <w:r>
              <w:t>≥95%</w:t>
            </w:r>
          </w:p>
        </w:tc>
        <w:tc>
          <w:tcPr>
            <w:tcW w:w="2466" w:type="dxa"/>
            <w:vAlign w:val="center"/>
          </w:tcPr>
          <w:p>
            <w:pPr>
              <w:pStyle w:val="14"/>
            </w:pPr>
            <w:r>
              <w:t>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差错成本</w:t>
            </w:r>
          </w:p>
        </w:tc>
        <w:tc>
          <w:tcPr>
            <w:tcW w:w="2466" w:type="dxa"/>
            <w:vAlign w:val="center"/>
          </w:tcPr>
          <w:p>
            <w:pPr>
              <w:pStyle w:val="14"/>
            </w:pPr>
            <w:r>
              <w:t>因差错导致工资错误或保险缴纳错误</w:t>
            </w:r>
          </w:p>
        </w:tc>
        <w:tc>
          <w:tcPr>
            <w:tcW w:w="2466" w:type="dxa"/>
            <w:vAlign w:val="center"/>
          </w:tcPr>
          <w:p>
            <w:pPr>
              <w:pStyle w:val="14"/>
            </w:pPr>
            <w:r>
              <w:t>≤2%</w:t>
            </w:r>
          </w:p>
        </w:tc>
        <w:tc>
          <w:tcPr>
            <w:tcW w:w="2466" w:type="dxa"/>
            <w:vAlign w:val="center"/>
          </w:tcPr>
          <w:p>
            <w:pPr>
              <w:pStyle w:val="14"/>
            </w:pPr>
            <w:r>
              <w:t>年终核算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提高办案质效</w:t>
            </w:r>
          </w:p>
        </w:tc>
        <w:tc>
          <w:tcPr>
            <w:tcW w:w="2466" w:type="dxa"/>
            <w:vAlign w:val="center"/>
          </w:tcPr>
          <w:p>
            <w:pPr>
              <w:pStyle w:val="14"/>
            </w:pPr>
            <w:r>
              <w:t>提高办案质效，推动“四大检察”工作全面协调可持续发展，提高检察机关司法公信力</w:t>
            </w:r>
          </w:p>
        </w:tc>
        <w:tc>
          <w:tcPr>
            <w:tcW w:w="2466" w:type="dxa"/>
            <w:vAlign w:val="center"/>
          </w:tcPr>
          <w:p>
            <w:pPr>
              <w:pStyle w:val="14"/>
            </w:pPr>
            <w:r>
              <w:t>进一步提高</w:t>
            </w:r>
          </w:p>
        </w:tc>
        <w:tc>
          <w:tcPr>
            <w:tcW w:w="2466" w:type="dxa"/>
            <w:vAlign w:val="center"/>
          </w:tcPr>
          <w:p>
            <w:pPr>
              <w:pStyle w:val="14"/>
            </w:pPr>
            <w:r>
              <w:t>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保障检察工作</w:t>
            </w:r>
          </w:p>
        </w:tc>
        <w:tc>
          <w:tcPr>
            <w:tcW w:w="2466" w:type="dxa"/>
            <w:vAlign w:val="center"/>
          </w:tcPr>
          <w:p>
            <w:pPr>
              <w:pStyle w:val="14"/>
            </w:pPr>
            <w:r>
              <w:t>保障检察工作</w:t>
            </w:r>
          </w:p>
        </w:tc>
        <w:tc>
          <w:tcPr>
            <w:tcW w:w="2466" w:type="dxa"/>
            <w:vAlign w:val="center"/>
          </w:tcPr>
          <w:p>
            <w:pPr>
              <w:pStyle w:val="14"/>
            </w:pPr>
            <w:r>
              <w:t>充实检察人员力量，保障检察工作有序开展</w:t>
            </w:r>
          </w:p>
        </w:tc>
        <w:tc>
          <w:tcPr>
            <w:tcW w:w="2466" w:type="dxa"/>
            <w:vAlign w:val="center"/>
          </w:tcPr>
          <w:p>
            <w:pPr>
              <w:pStyle w:val="14"/>
            </w:pPr>
            <w:r>
              <w:t>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服务对象保障情况满意度</w:t>
            </w:r>
          </w:p>
        </w:tc>
        <w:tc>
          <w:tcPr>
            <w:tcW w:w="2466" w:type="dxa"/>
            <w:vAlign w:val="center"/>
          </w:tcPr>
          <w:p>
            <w:pPr>
              <w:pStyle w:val="14"/>
            </w:pPr>
            <w:r>
              <w:t>服务对象保障情况满意度</w:t>
            </w:r>
          </w:p>
        </w:tc>
        <w:tc>
          <w:tcPr>
            <w:tcW w:w="2466" w:type="dxa"/>
            <w:vAlign w:val="center"/>
          </w:tcPr>
          <w:p>
            <w:pPr>
              <w:pStyle w:val="14"/>
            </w:pPr>
            <w:r>
              <w:t>≥90%</w:t>
            </w:r>
          </w:p>
        </w:tc>
        <w:tc>
          <w:tcPr>
            <w:tcW w:w="2466" w:type="dxa"/>
            <w:vAlign w:val="center"/>
          </w:tcPr>
          <w:p>
            <w:pPr>
              <w:pStyle w:val="14"/>
            </w:pPr>
            <w:r>
              <w:t>年终考核</w:t>
            </w:r>
          </w:p>
        </w:tc>
      </w:tr>
    </w:tbl>
    <w:p>
      <w:pPr>
        <w:sectPr>
          <w:pgSz w:w="16840" w:h="11900" w:orient="landscape"/>
          <w:pgMar w:top="1361" w:right="1020" w:bottom="1134" w:left="1020" w:header="720" w:footer="720" w:gutter="0"/>
        </w:sectPr>
      </w:pPr>
    </w:p>
    <w:p>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pPr>
        <w:spacing w:before="0" w:after="0" w:line="500" w:lineRule="exact"/>
        <w:ind w:firstLine="560"/>
        <w:jc w:val="left"/>
        <w:outlineLvl w:val="9"/>
      </w:pPr>
      <w:r>
        <w:rPr>
          <w:rFonts w:ascii="Times New Roman" w:hAnsi="Times New Roman" w:eastAsia="方正仿宋_GBK" w:cs="Times New Roman"/>
          <w:b w:val="0"/>
          <w:color w:val="000000"/>
          <w:sz w:val="28"/>
        </w:rPr>
        <w:t>2023年，河北省人民检察院雄安新区分院安排政府采购预算1336.00万元。具体内容见下表。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1478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pPr>
              <w:pStyle w:val="11"/>
            </w:pPr>
            <w:r>
              <w:t>404河北省人民检察院雄安新区分院</w:t>
            </w:r>
          </w:p>
        </w:tc>
        <w:tc>
          <w:tcPr>
            <w:tcW w:w="8316"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1848" w:type="dxa"/>
            <w:gridSpan w:val="2"/>
            <w:vAlign w:val="center"/>
          </w:tcPr>
          <w:p>
            <w:pPr>
              <w:pStyle w:val="12"/>
            </w:pPr>
            <w:r>
              <w:t>政府采购项目来源</w:t>
            </w:r>
          </w:p>
        </w:tc>
        <w:tc>
          <w:tcPr>
            <w:tcW w:w="924" w:type="dxa"/>
            <w:vMerge w:val="restart"/>
            <w:vAlign w:val="center"/>
          </w:tcPr>
          <w:p>
            <w:pPr>
              <w:pStyle w:val="12"/>
            </w:pPr>
            <w:r>
              <w:t>采购物品名称</w:t>
            </w:r>
          </w:p>
        </w:tc>
        <w:tc>
          <w:tcPr>
            <w:tcW w:w="924" w:type="dxa"/>
            <w:vMerge w:val="restart"/>
            <w:vAlign w:val="center"/>
          </w:tcPr>
          <w:p>
            <w:pPr>
              <w:pStyle w:val="12"/>
            </w:pPr>
            <w:r>
              <w:t>政府采购目录序号</w:t>
            </w:r>
          </w:p>
        </w:tc>
        <w:tc>
          <w:tcPr>
            <w:tcW w:w="924" w:type="dxa"/>
            <w:vMerge w:val="restart"/>
            <w:vAlign w:val="center"/>
          </w:tcPr>
          <w:p>
            <w:pPr>
              <w:pStyle w:val="12"/>
            </w:pPr>
            <w:r>
              <w:t>计量  单位</w:t>
            </w:r>
          </w:p>
        </w:tc>
        <w:tc>
          <w:tcPr>
            <w:tcW w:w="924" w:type="dxa"/>
            <w:vMerge w:val="restart"/>
            <w:vAlign w:val="center"/>
          </w:tcPr>
          <w:p>
            <w:pPr>
              <w:pStyle w:val="12"/>
            </w:pPr>
            <w:r>
              <w:t>数量</w:t>
            </w:r>
          </w:p>
        </w:tc>
        <w:tc>
          <w:tcPr>
            <w:tcW w:w="924" w:type="dxa"/>
            <w:vMerge w:val="restart"/>
            <w:vAlign w:val="center"/>
          </w:tcPr>
          <w:p>
            <w:pPr>
              <w:pStyle w:val="12"/>
            </w:pPr>
            <w:r>
              <w:t>单价</w:t>
            </w:r>
          </w:p>
        </w:tc>
        <w:tc>
          <w:tcPr>
            <w:tcW w:w="7392" w:type="dxa"/>
            <w:gridSpan w:val="8"/>
            <w:vAlign w:val="center"/>
          </w:tcPr>
          <w:p>
            <w:pPr>
              <w:pStyle w:val="12"/>
            </w:pPr>
            <w:r>
              <w:t>政府采购金额（当年部门预算安排资金）</w:t>
            </w:r>
          </w:p>
        </w:tc>
        <w:tc>
          <w:tcPr>
            <w:tcW w:w="92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924" w:type="dxa"/>
            <w:vAlign w:val="center"/>
          </w:tcPr>
          <w:p>
            <w:pPr>
              <w:pStyle w:val="12"/>
            </w:pPr>
            <w:r>
              <w:t>项目名称</w:t>
            </w:r>
          </w:p>
        </w:tc>
        <w:tc>
          <w:tcPr>
            <w:tcW w:w="924" w:type="dxa"/>
            <w:vAlign w:val="center"/>
          </w:tcPr>
          <w:p>
            <w:pPr>
              <w:pStyle w:val="12"/>
            </w:pPr>
            <w:r>
              <w:t>预算    资金</w:t>
            </w: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Align w:val="center"/>
          </w:tcPr>
          <w:p>
            <w:pPr>
              <w:pStyle w:val="12"/>
            </w:pPr>
            <w:r>
              <w:t>合计</w:t>
            </w:r>
          </w:p>
        </w:tc>
        <w:tc>
          <w:tcPr>
            <w:tcW w:w="924" w:type="dxa"/>
            <w:vAlign w:val="center"/>
          </w:tcPr>
          <w:p>
            <w:pPr>
              <w:pStyle w:val="12"/>
            </w:pPr>
            <w:r>
              <w:t>一般公共预算拨款</w:t>
            </w:r>
          </w:p>
        </w:tc>
        <w:tc>
          <w:tcPr>
            <w:tcW w:w="924" w:type="dxa"/>
            <w:vAlign w:val="center"/>
          </w:tcPr>
          <w:p>
            <w:pPr>
              <w:pStyle w:val="12"/>
            </w:pPr>
            <w:r>
              <w:t>基金预算拨款</w:t>
            </w:r>
          </w:p>
        </w:tc>
        <w:tc>
          <w:tcPr>
            <w:tcW w:w="924" w:type="dxa"/>
            <w:vAlign w:val="center"/>
          </w:tcPr>
          <w:p>
            <w:pPr>
              <w:pStyle w:val="12"/>
            </w:pPr>
            <w:r>
              <w:t>国有资本经营预算拨款</w:t>
            </w:r>
          </w:p>
        </w:tc>
        <w:tc>
          <w:tcPr>
            <w:tcW w:w="924" w:type="dxa"/>
            <w:vAlign w:val="center"/>
          </w:tcPr>
          <w:p>
            <w:pPr>
              <w:pStyle w:val="12"/>
            </w:pPr>
            <w:r>
              <w:t>财政专户核拨</w:t>
            </w:r>
          </w:p>
        </w:tc>
        <w:tc>
          <w:tcPr>
            <w:tcW w:w="924" w:type="dxa"/>
            <w:vAlign w:val="center"/>
          </w:tcPr>
          <w:p>
            <w:pPr>
              <w:pStyle w:val="12"/>
            </w:pPr>
            <w:r>
              <w:t>单位    资金</w:t>
            </w:r>
          </w:p>
        </w:tc>
        <w:tc>
          <w:tcPr>
            <w:tcW w:w="924" w:type="dxa"/>
            <w:vAlign w:val="center"/>
          </w:tcPr>
          <w:p>
            <w:pPr>
              <w:pStyle w:val="12"/>
            </w:pPr>
            <w:r>
              <w:t>财政拨    款结转</w:t>
            </w:r>
          </w:p>
        </w:tc>
        <w:tc>
          <w:tcPr>
            <w:tcW w:w="924" w:type="dxa"/>
            <w:vAlign w:val="center"/>
          </w:tcPr>
          <w:p>
            <w:pPr>
              <w:pStyle w:val="12"/>
            </w:pPr>
            <w:r>
              <w:t>非财政    拨款结    转结余</w:t>
            </w:r>
          </w:p>
        </w:tc>
        <w:tc>
          <w:tcPr>
            <w:tcW w:w="9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6"/>
            </w:pPr>
            <w:r>
              <w:t>合  计</w:t>
            </w:r>
          </w:p>
        </w:tc>
        <w:tc>
          <w:tcPr>
            <w:tcW w:w="924" w:type="dxa"/>
            <w:vAlign w:val="center"/>
          </w:tcPr>
          <w:p>
            <w:pPr>
              <w:pStyle w:val="17"/>
            </w:pPr>
          </w:p>
        </w:tc>
        <w:tc>
          <w:tcPr>
            <w:tcW w:w="924" w:type="dxa"/>
            <w:vAlign w:val="center"/>
          </w:tcPr>
          <w:p>
            <w:pPr>
              <w:pStyle w:val="18"/>
            </w:pPr>
          </w:p>
        </w:tc>
        <w:tc>
          <w:tcPr>
            <w:tcW w:w="924" w:type="dxa"/>
            <w:vAlign w:val="center"/>
          </w:tcPr>
          <w:p>
            <w:pPr>
              <w:pStyle w:val="18"/>
            </w:pPr>
          </w:p>
        </w:tc>
        <w:tc>
          <w:tcPr>
            <w:tcW w:w="924" w:type="dxa"/>
            <w:vAlign w:val="center"/>
          </w:tcPr>
          <w:p>
            <w:pPr>
              <w:pStyle w:val="16"/>
            </w:pPr>
          </w:p>
        </w:tc>
        <w:tc>
          <w:tcPr>
            <w:tcW w:w="924" w:type="dxa"/>
            <w:vAlign w:val="center"/>
          </w:tcPr>
          <w:p>
            <w:pPr>
              <w:pStyle w:val="17"/>
            </w:pPr>
          </w:p>
        </w:tc>
        <w:tc>
          <w:tcPr>
            <w:tcW w:w="924" w:type="dxa"/>
            <w:vAlign w:val="center"/>
          </w:tcPr>
          <w:p>
            <w:pPr>
              <w:pStyle w:val="17"/>
            </w:pPr>
          </w:p>
        </w:tc>
        <w:tc>
          <w:tcPr>
            <w:tcW w:w="924" w:type="dxa"/>
            <w:vAlign w:val="center"/>
          </w:tcPr>
          <w:p>
            <w:pPr>
              <w:pStyle w:val="17"/>
            </w:pPr>
            <w:r>
              <w:t>1336.00</w:t>
            </w:r>
          </w:p>
        </w:tc>
        <w:tc>
          <w:tcPr>
            <w:tcW w:w="924" w:type="dxa"/>
            <w:vAlign w:val="center"/>
          </w:tcPr>
          <w:p>
            <w:pPr>
              <w:pStyle w:val="17"/>
            </w:pPr>
            <w:r>
              <w:t>1136.00</w:t>
            </w: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r>
              <w:t>200.00</w:t>
            </w:r>
          </w:p>
        </w:tc>
        <w:tc>
          <w:tcPr>
            <w:tcW w:w="924" w:type="dxa"/>
            <w:vAlign w:val="center"/>
          </w:tcPr>
          <w:p>
            <w:pPr>
              <w:pStyle w:val="17"/>
            </w:pPr>
          </w:p>
        </w:tc>
        <w:tc>
          <w:tcPr>
            <w:tcW w:w="924" w:type="dxa"/>
            <w:vAlign w:val="center"/>
          </w:tcPr>
          <w:p>
            <w:pPr>
              <w:pStyle w:val="17"/>
            </w:pPr>
            <w:r>
              <w:t>744.00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6"/>
            </w:pPr>
            <w:r>
              <w:t>河北省人民检察院雄安新区分院小计</w:t>
            </w:r>
          </w:p>
        </w:tc>
        <w:tc>
          <w:tcPr>
            <w:tcW w:w="924" w:type="dxa"/>
            <w:vAlign w:val="center"/>
          </w:tcPr>
          <w:p>
            <w:pPr>
              <w:pStyle w:val="17"/>
            </w:pPr>
          </w:p>
        </w:tc>
        <w:tc>
          <w:tcPr>
            <w:tcW w:w="924" w:type="dxa"/>
            <w:vAlign w:val="center"/>
          </w:tcPr>
          <w:p>
            <w:pPr>
              <w:pStyle w:val="18"/>
            </w:pPr>
          </w:p>
        </w:tc>
        <w:tc>
          <w:tcPr>
            <w:tcW w:w="924" w:type="dxa"/>
            <w:vAlign w:val="center"/>
          </w:tcPr>
          <w:p>
            <w:pPr>
              <w:pStyle w:val="18"/>
            </w:pPr>
          </w:p>
        </w:tc>
        <w:tc>
          <w:tcPr>
            <w:tcW w:w="924" w:type="dxa"/>
            <w:vAlign w:val="center"/>
          </w:tcPr>
          <w:p>
            <w:pPr>
              <w:pStyle w:val="16"/>
            </w:pPr>
          </w:p>
        </w:tc>
        <w:tc>
          <w:tcPr>
            <w:tcW w:w="924" w:type="dxa"/>
            <w:vAlign w:val="center"/>
          </w:tcPr>
          <w:p>
            <w:pPr>
              <w:pStyle w:val="17"/>
            </w:pPr>
          </w:p>
        </w:tc>
        <w:tc>
          <w:tcPr>
            <w:tcW w:w="924" w:type="dxa"/>
            <w:vAlign w:val="center"/>
          </w:tcPr>
          <w:p>
            <w:pPr>
              <w:pStyle w:val="17"/>
            </w:pPr>
          </w:p>
        </w:tc>
        <w:tc>
          <w:tcPr>
            <w:tcW w:w="924" w:type="dxa"/>
            <w:vAlign w:val="center"/>
          </w:tcPr>
          <w:p>
            <w:pPr>
              <w:pStyle w:val="17"/>
            </w:pPr>
            <w:r>
              <w:t>1336.00</w:t>
            </w:r>
          </w:p>
        </w:tc>
        <w:tc>
          <w:tcPr>
            <w:tcW w:w="924" w:type="dxa"/>
            <w:vAlign w:val="center"/>
          </w:tcPr>
          <w:p>
            <w:pPr>
              <w:pStyle w:val="17"/>
            </w:pPr>
            <w:r>
              <w:t>1136.00</w:t>
            </w: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r>
              <w:t>200.00</w:t>
            </w:r>
          </w:p>
        </w:tc>
        <w:tc>
          <w:tcPr>
            <w:tcW w:w="924" w:type="dxa"/>
            <w:vAlign w:val="center"/>
          </w:tcPr>
          <w:p>
            <w:pPr>
              <w:pStyle w:val="17"/>
            </w:pPr>
          </w:p>
        </w:tc>
        <w:tc>
          <w:tcPr>
            <w:tcW w:w="924" w:type="dxa"/>
            <w:vAlign w:val="center"/>
          </w:tcPr>
          <w:p>
            <w:pPr>
              <w:pStyle w:val="17"/>
            </w:pPr>
            <w:r>
              <w:t>744.00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4"/>
            </w:pPr>
            <w:r>
              <w:t>临时办公场所保障及办案业务费</w:t>
            </w:r>
          </w:p>
        </w:tc>
        <w:tc>
          <w:tcPr>
            <w:tcW w:w="924" w:type="dxa"/>
            <w:vAlign w:val="center"/>
          </w:tcPr>
          <w:p>
            <w:pPr>
              <w:pStyle w:val="13"/>
            </w:pPr>
            <w:r>
              <w:t>530.00</w:t>
            </w:r>
          </w:p>
        </w:tc>
        <w:tc>
          <w:tcPr>
            <w:tcW w:w="924" w:type="dxa"/>
            <w:vAlign w:val="center"/>
          </w:tcPr>
          <w:p>
            <w:pPr>
              <w:pStyle w:val="14"/>
            </w:pPr>
            <w:r>
              <w:t>其他商业保险服务</w:t>
            </w:r>
          </w:p>
        </w:tc>
        <w:tc>
          <w:tcPr>
            <w:tcW w:w="924" w:type="dxa"/>
            <w:vAlign w:val="center"/>
          </w:tcPr>
          <w:p>
            <w:pPr>
              <w:pStyle w:val="14"/>
            </w:pPr>
            <w:r>
              <w:t>C18040199</w:t>
            </w:r>
          </w:p>
        </w:tc>
        <w:tc>
          <w:tcPr>
            <w:tcW w:w="924" w:type="dxa"/>
            <w:vAlign w:val="center"/>
          </w:tcPr>
          <w:p>
            <w:pPr>
              <w:pStyle w:val="15"/>
            </w:pPr>
            <w:r>
              <w:t>万元</w:t>
            </w:r>
          </w:p>
        </w:tc>
        <w:tc>
          <w:tcPr>
            <w:tcW w:w="924" w:type="dxa"/>
            <w:vAlign w:val="center"/>
          </w:tcPr>
          <w:p>
            <w:pPr>
              <w:pStyle w:val="13"/>
            </w:pPr>
            <w:r>
              <w:t>3</w:t>
            </w:r>
          </w:p>
        </w:tc>
        <w:tc>
          <w:tcPr>
            <w:tcW w:w="924" w:type="dxa"/>
            <w:vAlign w:val="center"/>
          </w:tcPr>
          <w:p>
            <w:pPr>
              <w:pStyle w:val="13"/>
            </w:pPr>
            <w:r>
              <w:t>1.00</w:t>
            </w:r>
          </w:p>
        </w:tc>
        <w:tc>
          <w:tcPr>
            <w:tcW w:w="924" w:type="dxa"/>
            <w:vAlign w:val="center"/>
          </w:tcPr>
          <w:p>
            <w:pPr>
              <w:pStyle w:val="13"/>
            </w:pPr>
            <w:r>
              <w:t>3.00</w:t>
            </w:r>
          </w:p>
        </w:tc>
        <w:tc>
          <w:tcPr>
            <w:tcW w:w="924" w:type="dxa"/>
            <w:vAlign w:val="center"/>
          </w:tcPr>
          <w:p>
            <w:pPr>
              <w:pStyle w:val="13"/>
            </w:pPr>
            <w:r>
              <w:t>3.00</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4"/>
            </w:pPr>
            <w:r>
              <w:t>临时办公场所保障及办案业务费</w:t>
            </w:r>
          </w:p>
        </w:tc>
        <w:tc>
          <w:tcPr>
            <w:tcW w:w="924" w:type="dxa"/>
            <w:vAlign w:val="center"/>
          </w:tcPr>
          <w:p>
            <w:pPr>
              <w:pStyle w:val="13"/>
            </w:pPr>
            <w:r>
              <w:t>530.00</w:t>
            </w:r>
          </w:p>
        </w:tc>
        <w:tc>
          <w:tcPr>
            <w:tcW w:w="924" w:type="dxa"/>
            <w:vAlign w:val="center"/>
          </w:tcPr>
          <w:p>
            <w:pPr>
              <w:pStyle w:val="14"/>
            </w:pPr>
            <w:r>
              <w:t>房屋租赁服务</w:t>
            </w:r>
          </w:p>
        </w:tc>
        <w:tc>
          <w:tcPr>
            <w:tcW w:w="924" w:type="dxa"/>
            <w:vAlign w:val="center"/>
          </w:tcPr>
          <w:p>
            <w:pPr>
              <w:pStyle w:val="14"/>
            </w:pPr>
            <w:r>
              <w:t>C21020000</w:t>
            </w:r>
          </w:p>
        </w:tc>
        <w:tc>
          <w:tcPr>
            <w:tcW w:w="924" w:type="dxa"/>
            <w:vAlign w:val="center"/>
          </w:tcPr>
          <w:p>
            <w:pPr>
              <w:pStyle w:val="15"/>
            </w:pPr>
            <w:r>
              <w:t>年</w:t>
            </w:r>
          </w:p>
        </w:tc>
        <w:tc>
          <w:tcPr>
            <w:tcW w:w="924" w:type="dxa"/>
            <w:vAlign w:val="center"/>
          </w:tcPr>
          <w:p>
            <w:pPr>
              <w:pStyle w:val="13"/>
            </w:pPr>
            <w:r>
              <w:t>1</w:t>
            </w:r>
          </w:p>
        </w:tc>
        <w:tc>
          <w:tcPr>
            <w:tcW w:w="924" w:type="dxa"/>
            <w:vAlign w:val="center"/>
          </w:tcPr>
          <w:p>
            <w:pPr>
              <w:pStyle w:val="13"/>
            </w:pPr>
            <w:r>
              <w:t>57.00</w:t>
            </w:r>
          </w:p>
        </w:tc>
        <w:tc>
          <w:tcPr>
            <w:tcW w:w="924" w:type="dxa"/>
            <w:vAlign w:val="center"/>
          </w:tcPr>
          <w:p>
            <w:pPr>
              <w:pStyle w:val="13"/>
            </w:pPr>
            <w:r>
              <w:t>57.00</w:t>
            </w:r>
          </w:p>
        </w:tc>
        <w:tc>
          <w:tcPr>
            <w:tcW w:w="924" w:type="dxa"/>
            <w:vAlign w:val="center"/>
          </w:tcPr>
          <w:p>
            <w:pPr>
              <w:pStyle w:val="13"/>
            </w:pPr>
            <w:r>
              <w:t>57.00</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4"/>
            </w:pPr>
            <w:r>
              <w:t>临时办公场所保障及办案业务费</w:t>
            </w:r>
          </w:p>
        </w:tc>
        <w:tc>
          <w:tcPr>
            <w:tcW w:w="924" w:type="dxa"/>
            <w:vAlign w:val="center"/>
          </w:tcPr>
          <w:p>
            <w:pPr>
              <w:pStyle w:val="13"/>
            </w:pPr>
            <w:r>
              <w:t>530.00</w:t>
            </w:r>
          </w:p>
        </w:tc>
        <w:tc>
          <w:tcPr>
            <w:tcW w:w="924" w:type="dxa"/>
            <w:vAlign w:val="center"/>
          </w:tcPr>
          <w:p>
            <w:pPr>
              <w:pStyle w:val="14"/>
            </w:pPr>
            <w:r>
              <w:t>物业管理服务</w:t>
            </w:r>
          </w:p>
        </w:tc>
        <w:tc>
          <w:tcPr>
            <w:tcW w:w="924" w:type="dxa"/>
            <w:vAlign w:val="center"/>
          </w:tcPr>
          <w:p>
            <w:pPr>
              <w:pStyle w:val="14"/>
            </w:pPr>
            <w:r>
              <w:t>C21040000</w:t>
            </w:r>
          </w:p>
        </w:tc>
        <w:tc>
          <w:tcPr>
            <w:tcW w:w="924" w:type="dxa"/>
            <w:vAlign w:val="center"/>
          </w:tcPr>
          <w:p>
            <w:pPr>
              <w:pStyle w:val="15"/>
            </w:pPr>
            <w:r>
              <w:t>年</w:t>
            </w:r>
          </w:p>
        </w:tc>
        <w:tc>
          <w:tcPr>
            <w:tcW w:w="924" w:type="dxa"/>
            <w:vAlign w:val="center"/>
          </w:tcPr>
          <w:p>
            <w:pPr>
              <w:pStyle w:val="13"/>
            </w:pPr>
            <w:r>
              <w:t>1</w:t>
            </w:r>
          </w:p>
        </w:tc>
        <w:tc>
          <w:tcPr>
            <w:tcW w:w="924" w:type="dxa"/>
            <w:vAlign w:val="center"/>
          </w:tcPr>
          <w:p>
            <w:pPr>
              <w:pStyle w:val="13"/>
            </w:pPr>
            <w:r>
              <w:t>49.00</w:t>
            </w:r>
          </w:p>
        </w:tc>
        <w:tc>
          <w:tcPr>
            <w:tcW w:w="924" w:type="dxa"/>
            <w:vAlign w:val="center"/>
          </w:tcPr>
          <w:p>
            <w:pPr>
              <w:pStyle w:val="13"/>
            </w:pPr>
            <w:r>
              <w:t>49.00</w:t>
            </w:r>
          </w:p>
        </w:tc>
        <w:tc>
          <w:tcPr>
            <w:tcW w:w="924" w:type="dxa"/>
            <w:vAlign w:val="center"/>
          </w:tcPr>
          <w:p>
            <w:pPr>
              <w:pStyle w:val="13"/>
            </w:pPr>
            <w:r>
              <w:t>49.00</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r>
              <w:t>49.00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4"/>
            </w:pPr>
            <w:r>
              <w:t>临时办公场所保障及办案业务费</w:t>
            </w:r>
          </w:p>
        </w:tc>
        <w:tc>
          <w:tcPr>
            <w:tcW w:w="924" w:type="dxa"/>
            <w:vAlign w:val="center"/>
          </w:tcPr>
          <w:p>
            <w:pPr>
              <w:pStyle w:val="13"/>
            </w:pPr>
            <w:r>
              <w:t>530.00</w:t>
            </w:r>
          </w:p>
        </w:tc>
        <w:tc>
          <w:tcPr>
            <w:tcW w:w="924" w:type="dxa"/>
            <w:vAlign w:val="center"/>
          </w:tcPr>
          <w:p>
            <w:pPr>
              <w:pStyle w:val="14"/>
            </w:pPr>
            <w:r>
              <w:t>其他印刷服务</w:t>
            </w:r>
          </w:p>
        </w:tc>
        <w:tc>
          <w:tcPr>
            <w:tcW w:w="924" w:type="dxa"/>
            <w:vAlign w:val="center"/>
          </w:tcPr>
          <w:p>
            <w:pPr>
              <w:pStyle w:val="14"/>
            </w:pPr>
            <w:r>
              <w:t>C23090199</w:t>
            </w:r>
          </w:p>
        </w:tc>
        <w:tc>
          <w:tcPr>
            <w:tcW w:w="924" w:type="dxa"/>
            <w:vAlign w:val="center"/>
          </w:tcPr>
          <w:p>
            <w:pPr>
              <w:pStyle w:val="15"/>
            </w:pPr>
            <w:r>
              <w:t>年</w:t>
            </w:r>
          </w:p>
        </w:tc>
        <w:tc>
          <w:tcPr>
            <w:tcW w:w="924" w:type="dxa"/>
            <w:vAlign w:val="center"/>
          </w:tcPr>
          <w:p>
            <w:pPr>
              <w:pStyle w:val="13"/>
            </w:pPr>
            <w:r>
              <w:t>1</w:t>
            </w:r>
          </w:p>
        </w:tc>
        <w:tc>
          <w:tcPr>
            <w:tcW w:w="924" w:type="dxa"/>
            <w:vAlign w:val="center"/>
          </w:tcPr>
          <w:p>
            <w:pPr>
              <w:pStyle w:val="13"/>
            </w:pPr>
            <w:r>
              <w:t>15.00</w:t>
            </w:r>
          </w:p>
        </w:tc>
        <w:tc>
          <w:tcPr>
            <w:tcW w:w="924" w:type="dxa"/>
            <w:vAlign w:val="center"/>
          </w:tcPr>
          <w:p>
            <w:pPr>
              <w:pStyle w:val="13"/>
            </w:pPr>
            <w:r>
              <w:t>15.00</w:t>
            </w:r>
          </w:p>
        </w:tc>
        <w:tc>
          <w:tcPr>
            <w:tcW w:w="924" w:type="dxa"/>
            <w:vAlign w:val="center"/>
          </w:tcPr>
          <w:p>
            <w:pPr>
              <w:pStyle w:val="13"/>
            </w:pPr>
            <w:r>
              <w:t>15.00</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4"/>
            </w:pPr>
            <w:r>
              <w:t>临时办公场所保障及办案业务费</w:t>
            </w:r>
          </w:p>
        </w:tc>
        <w:tc>
          <w:tcPr>
            <w:tcW w:w="924" w:type="dxa"/>
            <w:vAlign w:val="center"/>
          </w:tcPr>
          <w:p>
            <w:pPr>
              <w:pStyle w:val="13"/>
            </w:pPr>
            <w:r>
              <w:t>530.00</w:t>
            </w:r>
          </w:p>
        </w:tc>
        <w:tc>
          <w:tcPr>
            <w:tcW w:w="924" w:type="dxa"/>
            <w:vAlign w:val="center"/>
          </w:tcPr>
          <w:p>
            <w:pPr>
              <w:pStyle w:val="14"/>
            </w:pPr>
            <w:r>
              <w:t>车辆维修和保养服务</w:t>
            </w:r>
          </w:p>
        </w:tc>
        <w:tc>
          <w:tcPr>
            <w:tcW w:w="924" w:type="dxa"/>
            <w:vAlign w:val="center"/>
          </w:tcPr>
          <w:p>
            <w:pPr>
              <w:pStyle w:val="14"/>
            </w:pPr>
            <w:r>
              <w:t>C23120301</w:t>
            </w:r>
          </w:p>
        </w:tc>
        <w:tc>
          <w:tcPr>
            <w:tcW w:w="924" w:type="dxa"/>
            <w:vAlign w:val="center"/>
          </w:tcPr>
          <w:p>
            <w:pPr>
              <w:pStyle w:val="15"/>
            </w:pPr>
            <w:r>
              <w:t>万元</w:t>
            </w:r>
          </w:p>
        </w:tc>
        <w:tc>
          <w:tcPr>
            <w:tcW w:w="924" w:type="dxa"/>
            <w:vAlign w:val="center"/>
          </w:tcPr>
          <w:p>
            <w:pPr>
              <w:pStyle w:val="13"/>
            </w:pPr>
            <w:r>
              <w:t>4</w:t>
            </w:r>
          </w:p>
        </w:tc>
        <w:tc>
          <w:tcPr>
            <w:tcW w:w="924" w:type="dxa"/>
            <w:vAlign w:val="center"/>
          </w:tcPr>
          <w:p>
            <w:pPr>
              <w:pStyle w:val="13"/>
            </w:pPr>
            <w:r>
              <w:t>1.00</w:t>
            </w:r>
          </w:p>
        </w:tc>
        <w:tc>
          <w:tcPr>
            <w:tcW w:w="924" w:type="dxa"/>
            <w:vAlign w:val="center"/>
          </w:tcPr>
          <w:p>
            <w:pPr>
              <w:pStyle w:val="13"/>
            </w:pPr>
            <w:r>
              <w:t>4.00</w:t>
            </w:r>
          </w:p>
        </w:tc>
        <w:tc>
          <w:tcPr>
            <w:tcW w:w="924" w:type="dxa"/>
            <w:vAlign w:val="center"/>
          </w:tcPr>
          <w:p>
            <w:pPr>
              <w:pStyle w:val="13"/>
            </w:pPr>
            <w:r>
              <w:t>4.00</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4"/>
            </w:pPr>
            <w:r>
              <w:t>临时办公场所保障及办案业务费</w:t>
            </w:r>
          </w:p>
        </w:tc>
        <w:tc>
          <w:tcPr>
            <w:tcW w:w="924" w:type="dxa"/>
            <w:vAlign w:val="center"/>
          </w:tcPr>
          <w:p>
            <w:pPr>
              <w:pStyle w:val="13"/>
            </w:pPr>
            <w:r>
              <w:t>530.00</w:t>
            </w:r>
          </w:p>
        </w:tc>
        <w:tc>
          <w:tcPr>
            <w:tcW w:w="924" w:type="dxa"/>
            <w:vAlign w:val="center"/>
          </w:tcPr>
          <w:p>
            <w:pPr>
              <w:pStyle w:val="14"/>
            </w:pPr>
            <w:r>
              <w:t>车辆加油、添加燃料服务</w:t>
            </w:r>
          </w:p>
        </w:tc>
        <w:tc>
          <w:tcPr>
            <w:tcW w:w="924" w:type="dxa"/>
            <w:vAlign w:val="center"/>
          </w:tcPr>
          <w:p>
            <w:pPr>
              <w:pStyle w:val="14"/>
            </w:pPr>
            <w:r>
              <w:t>C23120302</w:t>
            </w:r>
          </w:p>
        </w:tc>
        <w:tc>
          <w:tcPr>
            <w:tcW w:w="924" w:type="dxa"/>
            <w:vAlign w:val="center"/>
          </w:tcPr>
          <w:p>
            <w:pPr>
              <w:pStyle w:val="15"/>
            </w:pPr>
            <w:r>
              <w:t>千升</w:t>
            </w:r>
          </w:p>
        </w:tc>
        <w:tc>
          <w:tcPr>
            <w:tcW w:w="924" w:type="dxa"/>
            <w:vAlign w:val="center"/>
          </w:tcPr>
          <w:p>
            <w:pPr>
              <w:pStyle w:val="13"/>
            </w:pPr>
            <w:r>
              <w:t>20</w:t>
            </w:r>
          </w:p>
        </w:tc>
        <w:tc>
          <w:tcPr>
            <w:tcW w:w="924" w:type="dxa"/>
            <w:vAlign w:val="center"/>
          </w:tcPr>
          <w:p>
            <w:pPr>
              <w:pStyle w:val="13"/>
            </w:pPr>
            <w:r>
              <w:t>0.50</w:t>
            </w:r>
          </w:p>
        </w:tc>
        <w:tc>
          <w:tcPr>
            <w:tcW w:w="924" w:type="dxa"/>
            <w:vAlign w:val="center"/>
          </w:tcPr>
          <w:p>
            <w:pPr>
              <w:pStyle w:val="13"/>
            </w:pPr>
            <w:r>
              <w:t>10.00</w:t>
            </w:r>
          </w:p>
        </w:tc>
        <w:tc>
          <w:tcPr>
            <w:tcW w:w="924" w:type="dxa"/>
            <w:vAlign w:val="center"/>
          </w:tcPr>
          <w:p>
            <w:pPr>
              <w:pStyle w:val="13"/>
            </w:pPr>
            <w:r>
              <w:t>10.00</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4"/>
            </w:pPr>
            <w:r>
              <w:t>认罪认罚同步录音录像区块链系统</w:t>
            </w:r>
          </w:p>
        </w:tc>
        <w:tc>
          <w:tcPr>
            <w:tcW w:w="924" w:type="dxa"/>
            <w:vAlign w:val="center"/>
          </w:tcPr>
          <w:p>
            <w:pPr>
              <w:pStyle w:val="13"/>
            </w:pPr>
            <w:r>
              <w:t>350.00</w:t>
            </w:r>
          </w:p>
        </w:tc>
        <w:tc>
          <w:tcPr>
            <w:tcW w:w="924" w:type="dxa"/>
            <w:vAlign w:val="center"/>
          </w:tcPr>
          <w:p>
            <w:pPr>
              <w:pStyle w:val="14"/>
            </w:pPr>
            <w:r>
              <w:t>服务器</w:t>
            </w:r>
          </w:p>
        </w:tc>
        <w:tc>
          <w:tcPr>
            <w:tcW w:w="924" w:type="dxa"/>
            <w:vAlign w:val="center"/>
          </w:tcPr>
          <w:p>
            <w:pPr>
              <w:pStyle w:val="14"/>
            </w:pPr>
            <w:r>
              <w:t>A02010104</w:t>
            </w:r>
          </w:p>
        </w:tc>
        <w:tc>
          <w:tcPr>
            <w:tcW w:w="924" w:type="dxa"/>
            <w:vAlign w:val="center"/>
          </w:tcPr>
          <w:p>
            <w:pPr>
              <w:pStyle w:val="15"/>
            </w:pPr>
            <w:r>
              <w:t>台</w:t>
            </w:r>
          </w:p>
        </w:tc>
        <w:tc>
          <w:tcPr>
            <w:tcW w:w="924" w:type="dxa"/>
            <w:vAlign w:val="center"/>
          </w:tcPr>
          <w:p>
            <w:pPr>
              <w:pStyle w:val="13"/>
            </w:pPr>
            <w:r>
              <w:t>2</w:t>
            </w:r>
          </w:p>
        </w:tc>
        <w:tc>
          <w:tcPr>
            <w:tcW w:w="924" w:type="dxa"/>
            <w:vAlign w:val="center"/>
          </w:tcPr>
          <w:p>
            <w:pPr>
              <w:pStyle w:val="13"/>
            </w:pPr>
            <w:r>
              <w:t>6.65</w:t>
            </w:r>
          </w:p>
        </w:tc>
        <w:tc>
          <w:tcPr>
            <w:tcW w:w="924" w:type="dxa"/>
            <w:vAlign w:val="center"/>
          </w:tcPr>
          <w:p>
            <w:pPr>
              <w:pStyle w:val="13"/>
            </w:pPr>
            <w:r>
              <w:t>13.30</w:t>
            </w:r>
          </w:p>
        </w:tc>
        <w:tc>
          <w:tcPr>
            <w:tcW w:w="924" w:type="dxa"/>
            <w:vAlign w:val="center"/>
          </w:tcPr>
          <w:p>
            <w:pPr>
              <w:pStyle w:val="13"/>
            </w:pPr>
            <w:r>
              <w:t>13.30</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r>
              <w:t>13.30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4"/>
            </w:pPr>
            <w:r>
              <w:t>认罪认罚同步录音录像区块链系统</w:t>
            </w:r>
          </w:p>
        </w:tc>
        <w:tc>
          <w:tcPr>
            <w:tcW w:w="924" w:type="dxa"/>
            <w:vAlign w:val="center"/>
          </w:tcPr>
          <w:p>
            <w:pPr>
              <w:pStyle w:val="13"/>
            </w:pPr>
            <w:r>
              <w:t>350.00</w:t>
            </w:r>
          </w:p>
        </w:tc>
        <w:tc>
          <w:tcPr>
            <w:tcW w:w="924" w:type="dxa"/>
            <w:vAlign w:val="center"/>
          </w:tcPr>
          <w:p>
            <w:pPr>
              <w:pStyle w:val="14"/>
            </w:pPr>
            <w:r>
              <w:t>服务器</w:t>
            </w:r>
          </w:p>
        </w:tc>
        <w:tc>
          <w:tcPr>
            <w:tcW w:w="924" w:type="dxa"/>
            <w:vAlign w:val="center"/>
          </w:tcPr>
          <w:p>
            <w:pPr>
              <w:pStyle w:val="14"/>
            </w:pPr>
            <w:r>
              <w:t>A02010104</w:t>
            </w:r>
          </w:p>
        </w:tc>
        <w:tc>
          <w:tcPr>
            <w:tcW w:w="924" w:type="dxa"/>
            <w:vAlign w:val="center"/>
          </w:tcPr>
          <w:p>
            <w:pPr>
              <w:pStyle w:val="15"/>
            </w:pPr>
            <w:r>
              <w:t>台</w:t>
            </w:r>
          </w:p>
        </w:tc>
        <w:tc>
          <w:tcPr>
            <w:tcW w:w="924" w:type="dxa"/>
            <w:vAlign w:val="center"/>
          </w:tcPr>
          <w:p>
            <w:pPr>
              <w:pStyle w:val="13"/>
            </w:pPr>
            <w:r>
              <w:t>1</w:t>
            </w:r>
          </w:p>
        </w:tc>
        <w:tc>
          <w:tcPr>
            <w:tcW w:w="924" w:type="dxa"/>
            <w:vAlign w:val="center"/>
          </w:tcPr>
          <w:p>
            <w:pPr>
              <w:pStyle w:val="13"/>
            </w:pPr>
            <w:r>
              <w:t>22.50</w:t>
            </w:r>
          </w:p>
        </w:tc>
        <w:tc>
          <w:tcPr>
            <w:tcW w:w="924" w:type="dxa"/>
            <w:vAlign w:val="center"/>
          </w:tcPr>
          <w:p>
            <w:pPr>
              <w:pStyle w:val="13"/>
            </w:pPr>
            <w:r>
              <w:t>22.50</w:t>
            </w:r>
          </w:p>
        </w:tc>
        <w:tc>
          <w:tcPr>
            <w:tcW w:w="924" w:type="dxa"/>
            <w:vAlign w:val="center"/>
          </w:tcPr>
          <w:p>
            <w:pPr>
              <w:pStyle w:val="13"/>
            </w:pPr>
            <w:r>
              <w:t>22.50</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r>
              <w:t>22.50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4"/>
            </w:pPr>
            <w:r>
              <w:t>认罪认罚同步录音录像区块链系统</w:t>
            </w:r>
          </w:p>
        </w:tc>
        <w:tc>
          <w:tcPr>
            <w:tcW w:w="924" w:type="dxa"/>
            <w:vAlign w:val="center"/>
          </w:tcPr>
          <w:p>
            <w:pPr>
              <w:pStyle w:val="13"/>
            </w:pPr>
            <w:r>
              <w:t>350.00</w:t>
            </w:r>
          </w:p>
        </w:tc>
        <w:tc>
          <w:tcPr>
            <w:tcW w:w="924" w:type="dxa"/>
            <w:vAlign w:val="center"/>
          </w:tcPr>
          <w:p>
            <w:pPr>
              <w:pStyle w:val="14"/>
            </w:pPr>
            <w:r>
              <w:t>其他信息安全设备</w:t>
            </w:r>
          </w:p>
        </w:tc>
        <w:tc>
          <w:tcPr>
            <w:tcW w:w="924" w:type="dxa"/>
            <w:vAlign w:val="center"/>
          </w:tcPr>
          <w:p>
            <w:pPr>
              <w:pStyle w:val="14"/>
            </w:pPr>
            <w:r>
              <w:t>A02010399</w:t>
            </w:r>
          </w:p>
        </w:tc>
        <w:tc>
          <w:tcPr>
            <w:tcW w:w="924" w:type="dxa"/>
            <w:vAlign w:val="center"/>
          </w:tcPr>
          <w:p>
            <w:pPr>
              <w:pStyle w:val="15"/>
            </w:pPr>
            <w:r>
              <w:t>台</w:t>
            </w:r>
          </w:p>
        </w:tc>
        <w:tc>
          <w:tcPr>
            <w:tcW w:w="924" w:type="dxa"/>
            <w:vAlign w:val="center"/>
          </w:tcPr>
          <w:p>
            <w:pPr>
              <w:pStyle w:val="13"/>
            </w:pPr>
            <w:r>
              <w:t>8</w:t>
            </w:r>
          </w:p>
        </w:tc>
        <w:tc>
          <w:tcPr>
            <w:tcW w:w="924" w:type="dxa"/>
            <w:vAlign w:val="center"/>
          </w:tcPr>
          <w:p>
            <w:pPr>
              <w:pStyle w:val="13"/>
            </w:pPr>
            <w:r>
              <w:t>2.30</w:t>
            </w:r>
          </w:p>
        </w:tc>
        <w:tc>
          <w:tcPr>
            <w:tcW w:w="924" w:type="dxa"/>
            <w:vAlign w:val="center"/>
          </w:tcPr>
          <w:p>
            <w:pPr>
              <w:pStyle w:val="13"/>
            </w:pPr>
            <w:r>
              <w:t>18.40</w:t>
            </w:r>
          </w:p>
        </w:tc>
        <w:tc>
          <w:tcPr>
            <w:tcW w:w="924" w:type="dxa"/>
            <w:vAlign w:val="center"/>
          </w:tcPr>
          <w:p>
            <w:pPr>
              <w:pStyle w:val="13"/>
            </w:pPr>
            <w:r>
              <w:t>18.40</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r>
              <w:t>18.40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4"/>
            </w:pPr>
            <w:r>
              <w:t>认罪认罚同步录音录像区块链系统</w:t>
            </w:r>
          </w:p>
        </w:tc>
        <w:tc>
          <w:tcPr>
            <w:tcW w:w="924" w:type="dxa"/>
            <w:vAlign w:val="center"/>
          </w:tcPr>
          <w:p>
            <w:pPr>
              <w:pStyle w:val="13"/>
            </w:pPr>
            <w:r>
              <w:t>350.00</w:t>
            </w:r>
          </w:p>
        </w:tc>
        <w:tc>
          <w:tcPr>
            <w:tcW w:w="924" w:type="dxa"/>
            <w:vAlign w:val="center"/>
          </w:tcPr>
          <w:p>
            <w:pPr>
              <w:pStyle w:val="14"/>
            </w:pPr>
            <w:r>
              <w:t>其他信息安全设备</w:t>
            </w:r>
          </w:p>
        </w:tc>
        <w:tc>
          <w:tcPr>
            <w:tcW w:w="924" w:type="dxa"/>
            <w:vAlign w:val="center"/>
          </w:tcPr>
          <w:p>
            <w:pPr>
              <w:pStyle w:val="14"/>
            </w:pPr>
            <w:r>
              <w:t>A02010399</w:t>
            </w:r>
          </w:p>
        </w:tc>
        <w:tc>
          <w:tcPr>
            <w:tcW w:w="924" w:type="dxa"/>
            <w:vAlign w:val="center"/>
          </w:tcPr>
          <w:p>
            <w:pPr>
              <w:pStyle w:val="15"/>
            </w:pPr>
            <w:r>
              <w:t>台</w:t>
            </w:r>
          </w:p>
        </w:tc>
        <w:tc>
          <w:tcPr>
            <w:tcW w:w="924" w:type="dxa"/>
            <w:vAlign w:val="center"/>
          </w:tcPr>
          <w:p>
            <w:pPr>
              <w:pStyle w:val="13"/>
            </w:pPr>
            <w:r>
              <w:t>60</w:t>
            </w:r>
          </w:p>
        </w:tc>
        <w:tc>
          <w:tcPr>
            <w:tcW w:w="924" w:type="dxa"/>
            <w:vAlign w:val="center"/>
          </w:tcPr>
          <w:p>
            <w:pPr>
              <w:pStyle w:val="13"/>
            </w:pPr>
            <w:r>
              <w:t>0.73</w:t>
            </w:r>
          </w:p>
        </w:tc>
        <w:tc>
          <w:tcPr>
            <w:tcW w:w="924" w:type="dxa"/>
            <w:vAlign w:val="center"/>
          </w:tcPr>
          <w:p>
            <w:pPr>
              <w:pStyle w:val="13"/>
            </w:pPr>
            <w:r>
              <w:t>43.80</w:t>
            </w:r>
          </w:p>
        </w:tc>
        <w:tc>
          <w:tcPr>
            <w:tcW w:w="924" w:type="dxa"/>
            <w:vAlign w:val="center"/>
          </w:tcPr>
          <w:p>
            <w:pPr>
              <w:pStyle w:val="13"/>
            </w:pPr>
            <w:r>
              <w:t>43.80</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r>
              <w:t>43.80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4"/>
            </w:pPr>
            <w:r>
              <w:t>认罪认罚同步录音录像区块链系统</w:t>
            </w:r>
          </w:p>
        </w:tc>
        <w:tc>
          <w:tcPr>
            <w:tcW w:w="924" w:type="dxa"/>
            <w:vAlign w:val="center"/>
          </w:tcPr>
          <w:p>
            <w:pPr>
              <w:pStyle w:val="13"/>
            </w:pPr>
            <w:r>
              <w:t>350.00</w:t>
            </w:r>
          </w:p>
        </w:tc>
        <w:tc>
          <w:tcPr>
            <w:tcW w:w="924" w:type="dxa"/>
            <w:vAlign w:val="center"/>
          </w:tcPr>
          <w:p>
            <w:pPr>
              <w:pStyle w:val="14"/>
            </w:pPr>
            <w:r>
              <w:t>其他计算机软件</w:t>
            </w:r>
          </w:p>
        </w:tc>
        <w:tc>
          <w:tcPr>
            <w:tcW w:w="924" w:type="dxa"/>
            <w:vAlign w:val="center"/>
          </w:tcPr>
          <w:p>
            <w:pPr>
              <w:pStyle w:val="14"/>
            </w:pPr>
            <w:r>
              <w:t>A08060399</w:t>
            </w:r>
          </w:p>
        </w:tc>
        <w:tc>
          <w:tcPr>
            <w:tcW w:w="924" w:type="dxa"/>
            <w:vAlign w:val="center"/>
          </w:tcPr>
          <w:p>
            <w:pPr>
              <w:pStyle w:val="15"/>
            </w:pPr>
            <w:r>
              <w:t>套</w:t>
            </w:r>
          </w:p>
        </w:tc>
        <w:tc>
          <w:tcPr>
            <w:tcW w:w="924" w:type="dxa"/>
            <w:vAlign w:val="center"/>
          </w:tcPr>
          <w:p>
            <w:pPr>
              <w:pStyle w:val="13"/>
            </w:pPr>
            <w:r>
              <w:t>1</w:t>
            </w:r>
          </w:p>
        </w:tc>
        <w:tc>
          <w:tcPr>
            <w:tcW w:w="924" w:type="dxa"/>
            <w:vAlign w:val="center"/>
          </w:tcPr>
          <w:p>
            <w:pPr>
              <w:pStyle w:val="13"/>
            </w:pPr>
            <w:r>
              <w:t>54.00</w:t>
            </w:r>
          </w:p>
        </w:tc>
        <w:tc>
          <w:tcPr>
            <w:tcW w:w="924" w:type="dxa"/>
            <w:vAlign w:val="center"/>
          </w:tcPr>
          <w:p>
            <w:pPr>
              <w:pStyle w:val="13"/>
            </w:pPr>
            <w:r>
              <w:t>54.00</w:t>
            </w:r>
          </w:p>
        </w:tc>
        <w:tc>
          <w:tcPr>
            <w:tcW w:w="924" w:type="dxa"/>
            <w:vAlign w:val="center"/>
          </w:tcPr>
          <w:p>
            <w:pPr>
              <w:pStyle w:val="13"/>
            </w:pPr>
            <w:r>
              <w:t>54.00</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r>
              <w:t>54.00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4"/>
            </w:pPr>
            <w:r>
              <w:t>认罪认罚同步录音录像区块链系统</w:t>
            </w:r>
          </w:p>
        </w:tc>
        <w:tc>
          <w:tcPr>
            <w:tcW w:w="924" w:type="dxa"/>
            <w:vAlign w:val="center"/>
          </w:tcPr>
          <w:p>
            <w:pPr>
              <w:pStyle w:val="13"/>
            </w:pPr>
            <w:r>
              <w:t>350.00</w:t>
            </w:r>
          </w:p>
        </w:tc>
        <w:tc>
          <w:tcPr>
            <w:tcW w:w="924" w:type="dxa"/>
            <w:vAlign w:val="center"/>
          </w:tcPr>
          <w:p>
            <w:pPr>
              <w:pStyle w:val="14"/>
            </w:pPr>
            <w:r>
              <w:t>其他计算机软件</w:t>
            </w:r>
          </w:p>
        </w:tc>
        <w:tc>
          <w:tcPr>
            <w:tcW w:w="924" w:type="dxa"/>
            <w:vAlign w:val="center"/>
          </w:tcPr>
          <w:p>
            <w:pPr>
              <w:pStyle w:val="14"/>
            </w:pPr>
            <w:r>
              <w:t>A08060399</w:t>
            </w:r>
          </w:p>
        </w:tc>
        <w:tc>
          <w:tcPr>
            <w:tcW w:w="924" w:type="dxa"/>
            <w:vAlign w:val="center"/>
          </w:tcPr>
          <w:p>
            <w:pPr>
              <w:pStyle w:val="15"/>
            </w:pPr>
            <w:r>
              <w:t>套</w:t>
            </w:r>
          </w:p>
        </w:tc>
        <w:tc>
          <w:tcPr>
            <w:tcW w:w="924" w:type="dxa"/>
            <w:vAlign w:val="center"/>
          </w:tcPr>
          <w:p>
            <w:pPr>
              <w:pStyle w:val="13"/>
            </w:pPr>
            <w:r>
              <w:t>1</w:t>
            </w:r>
          </w:p>
        </w:tc>
        <w:tc>
          <w:tcPr>
            <w:tcW w:w="924" w:type="dxa"/>
            <w:vAlign w:val="center"/>
          </w:tcPr>
          <w:p>
            <w:pPr>
              <w:pStyle w:val="13"/>
            </w:pPr>
            <w:r>
              <w:t>78.00</w:t>
            </w:r>
          </w:p>
        </w:tc>
        <w:tc>
          <w:tcPr>
            <w:tcW w:w="924" w:type="dxa"/>
            <w:vAlign w:val="center"/>
          </w:tcPr>
          <w:p>
            <w:pPr>
              <w:pStyle w:val="13"/>
            </w:pPr>
            <w:r>
              <w:t>78.00</w:t>
            </w:r>
          </w:p>
        </w:tc>
        <w:tc>
          <w:tcPr>
            <w:tcW w:w="924" w:type="dxa"/>
            <w:vAlign w:val="center"/>
          </w:tcPr>
          <w:p>
            <w:pPr>
              <w:pStyle w:val="13"/>
            </w:pPr>
            <w:r>
              <w:t>78.00</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r>
              <w:t>78.00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4"/>
            </w:pPr>
            <w:r>
              <w:t>认罪认罚同步录音录像区块链系统</w:t>
            </w:r>
          </w:p>
        </w:tc>
        <w:tc>
          <w:tcPr>
            <w:tcW w:w="924" w:type="dxa"/>
            <w:vAlign w:val="center"/>
          </w:tcPr>
          <w:p>
            <w:pPr>
              <w:pStyle w:val="13"/>
            </w:pPr>
            <w:r>
              <w:t>350.00</w:t>
            </w:r>
          </w:p>
        </w:tc>
        <w:tc>
          <w:tcPr>
            <w:tcW w:w="924" w:type="dxa"/>
            <w:vAlign w:val="center"/>
          </w:tcPr>
          <w:p>
            <w:pPr>
              <w:pStyle w:val="14"/>
            </w:pPr>
            <w:r>
              <w:t>其他计算机软件</w:t>
            </w:r>
          </w:p>
        </w:tc>
        <w:tc>
          <w:tcPr>
            <w:tcW w:w="924" w:type="dxa"/>
            <w:vAlign w:val="center"/>
          </w:tcPr>
          <w:p>
            <w:pPr>
              <w:pStyle w:val="14"/>
            </w:pPr>
            <w:r>
              <w:t>A08060399</w:t>
            </w:r>
          </w:p>
        </w:tc>
        <w:tc>
          <w:tcPr>
            <w:tcW w:w="924" w:type="dxa"/>
            <w:vAlign w:val="center"/>
          </w:tcPr>
          <w:p>
            <w:pPr>
              <w:pStyle w:val="15"/>
            </w:pPr>
            <w:r>
              <w:t>套</w:t>
            </w:r>
          </w:p>
        </w:tc>
        <w:tc>
          <w:tcPr>
            <w:tcW w:w="924" w:type="dxa"/>
            <w:vAlign w:val="center"/>
          </w:tcPr>
          <w:p>
            <w:pPr>
              <w:pStyle w:val="13"/>
            </w:pPr>
            <w:r>
              <w:t>1</w:t>
            </w:r>
          </w:p>
        </w:tc>
        <w:tc>
          <w:tcPr>
            <w:tcW w:w="924" w:type="dxa"/>
            <w:vAlign w:val="center"/>
          </w:tcPr>
          <w:p>
            <w:pPr>
              <w:pStyle w:val="13"/>
            </w:pPr>
            <w:r>
              <w:t>120.00</w:t>
            </w:r>
          </w:p>
        </w:tc>
        <w:tc>
          <w:tcPr>
            <w:tcW w:w="924" w:type="dxa"/>
            <w:vAlign w:val="center"/>
          </w:tcPr>
          <w:p>
            <w:pPr>
              <w:pStyle w:val="13"/>
            </w:pPr>
            <w:r>
              <w:t>120.00</w:t>
            </w:r>
          </w:p>
        </w:tc>
        <w:tc>
          <w:tcPr>
            <w:tcW w:w="924" w:type="dxa"/>
            <w:vAlign w:val="center"/>
          </w:tcPr>
          <w:p>
            <w:pPr>
              <w:pStyle w:val="13"/>
            </w:pPr>
            <w:r>
              <w:t>120.00</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r>
              <w:t>120.00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4"/>
            </w:pPr>
            <w:r>
              <w:t>涉密系统运行维护服务费</w:t>
            </w:r>
          </w:p>
        </w:tc>
        <w:tc>
          <w:tcPr>
            <w:tcW w:w="924" w:type="dxa"/>
            <w:vAlign w:val="center"/>
          </w:tcPr>
          <w:p>
            <w:pPr>
              <w:pStyle w:val="13"/>
            </w:pPr>
            <w:r>
              <w:t>93.00</w:t>
            </w:r>
          </w:p>
        </w:tc>
        <w:tc>
          <w:tcPr>
            <w:tcW w:w="924" w:type="dxa"/>
            <w:vAlign w:val="center"/>
          </w:tcPr>
          <w:p>
            <w:pPr>
              <w:pStyle w:val="14"/>
            </w:pPr>
            <w:r>
              <w:t>其他运行维护服务</w:t>
            </w:r>
          </w:p>
        </w:tc>
        <w:tc>
          <w:tcPr>
            <w:tcW w:w="924" w:type="dxa"/>
            <w:vAlign w:val="center"/>
          </w:tcPr>
          <w:p>
            <w:pPr>
              <w:pStyle w:val="14"/>
            </w:pPr>
            <w:r>
              <w:t>C16079900</w:t>
            </w:r>
          </w:p>
        </w:tc>
        <w:tc>
          <w:tcPr>
            <w:tcW w:w="924" w:type="dxa"/>
            <w:vAlign w:val="center"/>
          </w:tcPr>
          <w:p>
            <w:pPr>
              <w:pStyle w:val="15"/>
            </w:pPr>
            <w:r>
              <w:t>次</w:t>
            </w:r>
          </w:p>
        </w:tc>
        <w:tc>
          <w:tcPr>
            <w:tcW w:w="924" w:type="dxa"/>
            <w:vAlign w:val="center"/>
          </w:tcPr>
          <w:p>
            <w:pPr>
              <w:pStyle w:val="13"/>
            </w:pPr>
            <w:r>
              <w:t>1</w:t>
            </w:r>
          </w:p>
        </w:tc>
        <w:tc>
          <w:tcPr>
            <w:tcW w:w="924" w:type="dxa"/>
            <w:vAlign w:val="center"/>
          </w:tcPr>
          <w:p>
            <w:pPr>
              <w:pStyle w:val="13"/>
            </w:pPr>
            <w:r>
              <w:t>93.00</w:t>
            </w:r>
          </w:p>
        </w:tc>
        <w:tc>
          <w:tcPr>
            <w:tcW w:w="924" w:type="dxa"/>
            <w:vAlign w:val="center"/>
          </w:tcPr>
          <w:p>
            <w:pPr>
              <w:pStyle w:val="13"/>
            </w:pPr>
            <w:r>
              <w:t>93.00</w:t>
            </w:r>
          </w:p>
        </w:tc>
        <w:tc>
          <w:tcPr>
            <w:tcW w:w="924" w:type="dxa"/>
            <w:vAlign w:val="center"/>
          </w:tcPr>
          <w:p>
            <w:pPr>
              <w:pStyle w:val="13"/>
            </w:pPr>
            <w:r>
              <w:t>93.00</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4"/>
            </w:pPr>
            <w:r>
              <w:t>实验室运维及库房租赁</w:t>
            </w:r>
          </w:p>
        </w:tc>
        <w:tc>
          <w:tcPr>
            <w:tcW w:w="924" w:type="dxa"/>
            <w:vAlign w:val="center"/>
          </w:tcPr>
          <w:p>
            <w:pPr>
              <w:pStyle w:val="13"/>
            </w:pPr>
            <w:r>
              <w:t>45.00</w:t>
            </w:r>
          </w:p>
        </w:tc>
        <w:tc>
          <w:tcPr>
            <w:tcW w:w="924" w:type="dxa"/>
            <w:vAlign w:val="center"/>
          </w:tcPr>
          <w:p>
            <w:pPr>
              <w:pStyle w:val="14"/>
            </w:pPr>
            <w:r>
              <w:t>其他运行维护服务</w:t>
            </w:r>
          </w:p>
        </w:tc>
        <w:tc>
          <w:tcPr>
            <w:tcW w:w="924" w:type="dxa"/>
            <w:vAlign w:val="center"/>
          </w:tcPr>
          <w:p>
            <w:pPr>
              <w:pStyle w:val="14"/>
            </w:pPr>
            <w:r>
              <w:t>C16079900</w:t>
            </w:r>
          </w:p>
        </w:tc>
        <w:tc>
          <w:tcPr>
            <w:tcW w:w="924" w:type="dxa"/>
            <w:vAlign w:val="center"/>
          </w:tcPr>
          <w:p>
            <w:pPr>
              <w:pStyle w:val="15"/>
            </w:pPr>
            <w:r>
              <w:t>年</w:t>
            </w:r>
          </w:p>
        </w:tc>
        <w:tc>
          <w:tcPr>
            <w:tcW w:w="924" w:type="dxa"/>
            <w:vAlign w:val="center"/>
          </w:tcPr>
          <w:p>
            <w:pPr>
              <w:pStyle w:val="13"/>
            </w:pPr>
            <w:r>
              <w:t>1</w:t>
            </w:r>
          </w:p>
        </w:tc>
        <w:tc>
          <w:tcPr>
            <w:tcW w:w="924" w:type="dxa"/>
            <w:vAlign w:val="center"/>
          </w:tcPr>
          <w:p>
            <w:pPr>
              <w:pStyle w:val="13"/>
            </w:pPr>
            <w:r>
              <w:t>45.00</w:t>
            </w:r>
          </w:p>
        </w:tc>
        <w:tc>
          <w:tcPr>
            <w:tcW w:w="924" w:type="dxa"/>
            <w:vAlign w:val="center"/>
          </w:tcPr>
          <w:p>
            <w:pPr>
              <w:pStyle w:val="13"/>
            </w:pPr>
            <w:r>
              <w:t>45.00</w:t>
            </w:r>
          </w:p>
        </w:tc>
        <w:tc>
          <w:tcPr>
            <w:tcW w:w="924" w:type="dxa"/>
            <w:vAlign w:val="center"/>
          </w:tcPr>
          <w:p>
            <w:pPr>
              <w:pStyle w:val="13"/>
            </w:pPr>
            <w:r>
              <w:t>45.00</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r>
              <w:t>45.00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4"/>
            </w:pPr>
            <w:r>
              <w:t>网络安全建设和测评</w:t>
            </w:r>
          </w:p>
        </w:tc>
        <w:tc>
          <w:tcPr>
            <w:tcW w:w="924" w:type="dxa"/>
            <w:vAlign w:val="center"/>
          </w:tcPr>
          <w:p>
            <w:pPr>
              <w:pStyle w:val="13"/>
            </w:pPr>
            <w:r>
              <w:t>150.00</w:t>
            </w:r>
          </w:p>
        </w:tc>
        <w:tc>
          <w:tcPr>
            <w:tcW w:w="924" w:type="dxa"/>
            <w:vAlign w:val="center"/>
          </w:tcPr>
          <w:p>
            <w:pPr>
              <w:pStyle w:val="14"/>
            </w:pPr>
            <w:r>
              <w:t>服务器</w:t>
            </w:r>
          </w:p>
        </w:tc>
        <w:tc>
          <w:tcPr>
            <w:tcW w:w="924" w:type="dxa"/>
            <w:vAlign w:val="center"/>
          </w:tcPr>
          <w:p>
            <w:pPr>
              <w:pStyle w:val="14"/>
            </w:pPr>
            <w:r>
              <w:t>A02010104</w:t>
            </w:r>
          </w:p>
        </w:tc>
        <w:tc>
          <w:tcPr>
            <w:tcW w:w="924" w:type="dxa"/>
            <w:vAlign w:val="center"/>
          </w:tcPr>
          <w:p>
            <w:pPr>
              <w:pStyle w:val="15"/>
            </w:pPr>
            <w:r>
              <w:t>台</w:t>
            </w:r>
          </w:p>
        </w:tc>
        <w:tc>
          <w:tcPr>
            <w:tcW w:w="924" w:type="dxa"/>
            <w:vAlign w:val="center"/>
          </w:tcPr>
          <w:p>
            <w:pPr>
              <w:pStyle w:val="13"/>
            </w:pPr>
            <w:r>
              <w:t>1</w:t>
            </w:r>
          </w:p>
        </w:tc>
        <w:tc>
          <w:tcPr>
            <w:tcW w:w="924" w:type="dxa"/>
            <w:vAlign w:val="center"/>
          </w:tcPr>
          <w:p>
            <w:pPr>
              <w:pStyle w:val="13"/>
            </w:pPr>
            <w:r>
              <w:t>5.00</w:t>
            </w:r>
          </w:p>
        </w:tc>
        <w:tc>
          <w:tcPr>
            <w:tcW w:w="924" w:type="dxa"/>
            <w:vAlign w:val="center"/>
          </w:tcPr>
          <w:p>
            <w:pPr>
              <w:pStyle w:val="13"/>
            </w:pPr>
            <w:r>
              <w:t>5.00</w:t>
            </w:r>
          </w:p>
        </w:tc>
        <w:tc>
          <w:tcPr>
            <w:tcW w:w="924" w:type="dxa"/>
            <w:vAlign w:val="center"/>
          </w:tcPr>
          <w:p>
            <w:pPr>
              <w:pStyle w:val="13"/>
            </w:pPr>
            <w:r>
              <w:t>5.00</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4"/>
            </w:pPr>
            <w:r>
              <w:t>网络安全建设和测评</w:t>
            </w:r>
          </w:p>
        </w:tc>
        <w:tc>
          <w:tcPr>
            <w:tcW w:w="924" w:type="dxa"/>
            <w:vAlign w:val="center"/>
          </w:tcPr>
          <w:p>
            <w:pPr>
              <w:pStyle w:val="13"/>
            </w:pPr>
            <w:r>
              <w:t>150.00</w:t>
            </w:r>
          </w:p>
        </w:tc>
        <w:tc>
          <w:tcPr>
            <w:tcW w:w="924" w:type="dxa"/>
            <w:vAlign w:val="center"/>
          </w:tcPr>
          <w:p>
            <w:pPr>
              <w:pStyle w:val="14"/>
            </w:pPr>
            <w:r>
              <w:t>入侵检测设备</w:t>
            </w:r>
          </w:p>
        </w:tc>
        <w:tc>
          <w:tcPr>
            <w:tcW w:w="924" w:type="dxa"/>
            <w:vAlign w:val="center"/>
          </w:tcPr>
          <w:p>
            <w:pPr>
              <w:pStyle w:val="14"/>
            </w:pPr>
            <w:r>
              <w:t>A02010302</w:t>
            </w:r>
          </w:p>
        </w:tc>
        <w:tc>
          <w:tcPr>
            <w:tcW w:w="924" w:type="dxa"/>
            <w:vAlign w:val="center"/>
          </w:tcPr>
          <w:p>
            <w:pPr>
              <w:pStyle w:val="15"/>
            </w:pPr>
            <w:r>
              <w:t>套</w:t>
            </w:r>
          </w:p>
        </w:tc>
        <w:tc>
          <w:tcPr>
            <w:tcW w:w="924" w:type="dxa"/>
            <w:vAlign w:val="center"/>
          </w:tcPr>
          <w:p>
            <w:pPr>
              <w:pStyle w:val="13"/>
            </w:pPr>
            <w:r>
              <w:t>1</w:t>
            </w:r>
          </w:p>
        </w:tc>
        <w:tc>
          <w:tcPr>
            <w:tcW w:w="924" w:type="dxa"/>
            <w:vAlign w:val="center"/>
          </w:tcPr>
          <w:p>
            <w:pPr>
              <w:pStyle w:val="13"/>
            </w:pPr>
            <w:r>
              <w:t>26.40</w:t>
            </w:r>
          </w:p>
        </w:tc>
        <w:tc>
          <w:tcPr>
            <w:tcW w:w="924" w:type="dxa"/>
            <w:vAlign w:val="center"/>
          </w:tcPr>
          <w:p>
            <w:pPr>
              <w:pStyle w:val="13"/>
            </w:pPr>
            <w:r>
              <w:t>26.40</w:t>
            </w:r>
          </w:p>
        </w:tc>
        <w:tc>
          <w:tcPr>
            <w:tcW w:w="924" w:type="dxa"/>
            <w:vAlign w:val="center"/>
          </w:tcPr>
          <w:p>
            <w:pPr>
              <w:pStyle w:val="13"/>
            </w:pPr>
            <w:r>
              <w:t>26.40</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4"/>
            </w:pPr>
            <w:r>
              <w:t>网络安全建设和测评</w:t>
            </w:r>
          </w:p>
        </w:tc>
        <w:tc>
          <w:tcPr>
            <w:tcW w:w="924" w:type="dxa"/>
            <w:vAlign w:val="center"/>
          </w:tcPr>
          <w:p>
            <w:pPr>
              <w:pStyle w:val="13"/>
            </w:pPr>
            <w:r>
              <w:t>150.00</w:t>
            </w:r>
          </w:p>
        </w:tc>
        <w:tc>
          <w:tcPr>
            <w:tcW w:w="924" w:type="dxa"/>
            <w:vAlign w:val="center"/>
          </w:tcPr>
          <w:p>
            <w:pPr>
              <w:pStyle w:val="14"/>
            </w:pPr>
            <w:r>
              <w:t>漏洞扫描设备</w:t>
            </w:r>
          </w:p>
        </w:tc>
        <w:tc>
          <w:tcPr>
            <w:tcW w:w="924" w:type="dxa"/>
            <w:vAlign w:val="center"/>
          </w:tcPr>
          <w:p>
            <w:pPr>
              <w:pStyle w:val="14"/>
            </w:pPr>
            <w:r>
              <w:t>A02010304</w:t>
            </w:r>
          </w:p>
        </w:tc>
        <w:tc>
          <w:tcPr>
            <w:tcW w:w="924" w:type="dxa"/>
            <w:vAlign w:val="center"/>
          </w:tcPr>
          <w:p>
            <w:pPr>
              <w:pStyle w:val="15"/>
            </w:pPr>
            <w:r>
              <w:t>套</w:t>
            </w:r>
          </w:p>
        </w:tc>
        <w:tc>
          <w:tcPr>
            <w:tcW w:w="924" w:type="dxa"/>
            <w:vAlign w:val="center"/>
          </w:tcPr>
          <w:p>
            <w:pPr>
              <w:pStyle w:val="13"/>
            </w:pPr>
            <w:r>
              <w:t>1</w:t>
            </w:r>
          </w:p>
        </w:tc>
        <w:tc>
          <w:tcPr>
            <w:tcW w:w="924" w:type="dxa"/>
            <w:vAlign w:val="center"/>
          </w:tcPr>
          <w:p>
            <w:pPr>
              <w:pStyle w:val="13"/>
            </w:pPr>
            <w:r>
              <w:t>6.25</w:t>
            </w:r>
          </w:p>
        </w:tc>
        <w:tc>
          <w:tcPr>
            <w:tcW w:w="924" w:type="dxa"/>
            <w:vAlign w:val="center"/>
          </w:tcPr>
          <w:p>
            <w:pPr>
              <w:pStyle w:val="13"/>
            </w:pPr>
            <w:r>
              <w:t>6.25</w:t>
            </w:r>
          </w:p>
        </w:tc>
        <w:tc>
          <w:tcPr>
            <w:tcW w:w="924" w:type="dxa"/>
            <w:vAlign w:val="center"/>
          </w:tcPr>
          <w:p>
            <w:pPr>
              <w:pStyle w:val="13"/>
            </w:pPr>
            <w:r>
              <w:t>6.25</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4"/>
            </w:pPr>
            <w:r>
              <w:t>网络安全建设和测评</w:t>
            </w:r>
          </w:p>
        </w:tc>
        <w:tc>
          <w:tcPr>
            <w:tcW w:w="924" w:type="dxa"/>
            <w:vAlign w:val="center"/>
          </w:tcPr>
          <w:p>
            <w:pPr>
              <w:pStyle w:val="13"/>
            </w:pPr>
            <w:r>
              <w:t>150.00</w:t>
            </w:r>
          </w:p>
        </w:tc>
        <w:tc>
          <w:tcPr>
            <w:tcW w:w="924" w:type="dxa"/>
            <w:vAlign w:val="center"/>
          </w:tcPr>
          <w:p>
            <w:pPr>
              <w:pStyle w:val="14"/>
            </w:pPr>
            <w:r>
              <w:t>漏洞扫描设备</w:t>
            </w:r>
          </w:p>
        </w:tc>
        <w:tc>
          <w:tcPr>
            <w:tcW w:w="924" w:type="dxa"/>
            <w:vAlign w:val="center"/>
          </w:tcPr>
          <w:p>
            <w:pPr>
              <w:pStyle w:val="14"/>
            </w:pPr>
            <w:r>
              <w:t>A02010304</w:t>
            </w:r>
          </w:p>
        </w:tc>
        <w:tc>
          <w:tcPr>
            <w:tcW w:w="924" w:type="dxa"/>
            <w:vAlign w:val="center"/>
          </w:tcPr>
          <w:p>
            <w:pPr>
              <w:pStyle w:val="15"/>
            </w:pPr>
            <w:r>
              <w:t>套</w:t>
            </w:r>
          </w:p>
        </w:tc>
        <w:tc>
          <w:tcPr>
            <w:tcW w:w="924" w:type="dxa"/>
            <w:vAlign w:val="center"/>
          </w:tcPr>
          <w:p>
            <w:pPr>
              <w:pStyle w:val="13"/>
            </w:pPr>
            <w:r>
              <w:t>1</w:t>
            </w:r>
          </w:p>
        </w:tc>
        <w:tc>
          <w:tcPr>
            <w:tcW w:w="924" w:type="dxa"/>
            <w:vAlign w:val="center"/>
          </w:tcPr>
          <w:p>
            <w:pPr>
              <w:pStyle w:val="13"/>
            </w:pPr>
            <w:r>
              <w:t>6.25</w:t>
            </w:r>
          </w:p>
        </w:tc>
        <w:tc>
          <w:tcPr>
            <w:tcW w:w="924" w:type="dxa"/>
            <w:vAlign w:val="center"/>
          </w:tcPr>
          <w:p>
            <w:pPr>
              <w:pStyle w:val="13"/>
            </w:pPr>
            <w:r>
              <w:t>6.25</w:t>
            </w:r>
          </w:p>
        </w:tc>
        <w:tc>
          <w:tcPr>
            <w:tcW w:w="924" w:type="dxa"/>
            <w:vAlign w:val="center"/>
          </w:tcPr>
          <w:p>
            <w:pPr>
              <w:pStyle w:val="13"/>
            </w:pPr>
            <w:r>
              <w:t>6.25</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4"/>
            </w:pPr>
            <w:r>
              <w:t>网络安全建设和测评</w:t>
            </w:r>
          </w:p>
        </w:tc>
        <w:tc>
          <w:tcPr>
            <w:tcW w:w="924" w:type="dxa"/>
            <w:vAlign w:val="center"/>
          </w:tcPr>
          <w:p>
            <w:pPr>
              <w:pStyle w:val="13"/>
            </w:pPr>
            <w:r>
              <w:t>150.00</w:t>
            </w:r>
          </w:p>
        </w:tc>
        <w:tc>
          <w:tcPr>
            <w:tcW w:w="924" w:type="dxa"/>
            <w:vAlign w:val="center"/>
          </w:tcPr>
          <w:p>
            <w:pPr>
              <w:pStyle w:val="14"/>
            </w:pPr>
            <w:r>
              <w:t>其他信息安全设备</w:t>
            </w:r>
          </w:p>
        </w:tc>
        <w:tc>
          <w:tcPr>
            <w:tcW w:w="924" w:type="dxa"/>
            <w:vAlign w:val="center"/>
          </w:tcPr>
          <w:p>
            <w:pPr>
              <w:pStyle w:val="14"/>
            </w:pPr>
            <w:r>
              <w:t>A02010399</w:t>
            </w:r>
          </w:p>
        </w:tc>
        <w:tc>
          <w:tcPr>
            <w:tcW w:w="924" w:type="dxa"/>
            <w:vAlign w:val="center"/>
          </w:tcPr>
          <w:p>
            <w:pPr>
              <w:pStyle w:val="15"/>
            </w:pPr>
            <w:r>
              <w:t>套</w:t>
            </w:r>
          </w:p>
        </w:tc>
        <w:tc>
          <w:tcPr>
            <w:tcW w:w="924" w:type="dxa"/>
            <w:vAlign w:val="center"/>
          </w:tcPr>
          <w:p>
            <w:pPr>
              <w:pStyle w:val="13"/>
            </w:pPr>
            <w:r>
              <w:t>1</w:t>
            </w:r>
          </w:p>
        </w:tc>
        <w:tc>
          <w:tcPr>
            <w:tcW w:w="924" w:type="dxa"/>
            <w:vAlign w:val="center"/>
          </w:tcPr>
          <w:p>
            <w:pPr>
              <w:pStyle w:val="13"/>
            </w:pPr>
            <w:r>
              <w:t>10.30</w:t>
            </w:r>
          </w:p>
        </w:tc>
        <w:tc>
          <w:tcPr>
            <w:tcW w:w="924" w:type="dxa"/>
            <w:vAlign w:val="center"/>
          </w:tcPr>
          <w:p>
            <w:pPr>
              <w:pStyle w:val="13"/>
            </w:pPr>
            <w:r>
              <w:t>10.30</w:t>
            </w:r>
          </w:p>
        </w:tc>
        <w:tc>
          <w:tcPr>
            <w:tcW w:w="924" w:type="dxa"/>
            <w:vAlign w:val="center"/>
          </w:tcPr>
          <w:p>
            <w:pPr>
              <w:pStyle w:val="13"/>
            </w:pPr>
            <w:r>
              <w:t>10.30</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4"/>
            </w:pPr>
            <w:r>
              <w:t>网络安全建设和测评</w:t>
            </w:r>
          </w:p>
        </w:tc>
        <w:tc>
          <w:tcPr>
            <w:tcW w:w="924" w:type="dxa"/>
            <w:vAlign w:val="center"/>
          </w:tcPr>
          <w:p>
            <w:pPr>
              <w:pStyle w:val="13"/>
            </w:pPr>
            <w:r>
              <w:t>150.00</w:t>
            </w:r>
          </w:p>
        </w:tc>
        <w:tc>
          <w:tcPr>
            <w:tcW w:w="924" w:type="dxa"/>
            <w:vAlign w:val="center"/>
          </w:tcPr>
          <w:p>
            <w:pPr>
              <w:pStyle w:val="14"/>
            </w:pPr>
            <w:r>
              <w:t>其他信息安全设备</w:t>
            </w:r>
          </w:p>
        </w:tc>
        <w:tc>
          <w:tcPr>
            <w:tcW w:w="924" w:type="dxa"/>
            <w:vAlign w:val="center"/>
          </w:tcPr>
          <w:p>
            <w:pPr>
              <w:pStyle w:val="14"/>
            </w:pPr>
            <w:r>
              <w:t>A02010399</w:t>
            </w:r>
          </w:p>
        </w:tc>
        <w:tc>
          <w:tcPr>
            <w:tcW w:w="924" w:type="dxa"/>
            <w:vAlign w:val="center"/>
          </w:tcPr>
          <w:p>
            <w:pPr>
              <w:pStyle w:val="15"/>
            </w:pPr>
            <w:r>
              <w:t>套</w:t>
            </w:r>
          </w:p>
        </w:tc>
        <w:tc>
          <w:tcPr>
            <w:tcW w:w="924" w:type="dxa"/>
            <w:vAlign w:val="center"/>
          </w:tcPr>
          <w:p>
            <w:pPr>
              <w:pStyle w:val="13"/>
            </w:pPr>
            <w:r>
              <w:t>1</w:t>
            </w:r>
          </w:p>
        </w:tc>
        <w:tc>
          <w:tcPr>
            <w:tcW w:w="924" w:type="dxa"/>
            <w:vAlign w:val="center"/>
          </w:tcPr>
          <w:p>
            <w:pPr>
              <w:pStyle w:val="13"/>
            </w:pPr>
            <w:r>
              <w:t>10.60</w:t>
            </w:r>
          </w:p>
        </w:tc>
        <w:tc>
          <w:tcPr>
            <w:tcW w:w="924" w:type="dxa"/>
            <w:vAlign w:val="center"/>
          </w:tcPr>
          <w:p>
            <w:pPr>
              <w:pStyle w:val="13"/>
            </w:pPr>
            <w:r>
              <w:t>10.60</w:t>
            </w:r>
          </w:p>
        </w:tc>
        <w:tc>
          <w:tcPr>
            <w:tcW w:w="924" w:type="dxa"/>
            <w:vAlign w:val="center"/>
          </w:tcPr>
          <w:p>
            <w:pPr>
              <w:pStyle w:val="13"/>
            </w:pPr>
            <w:r>
              <w:t>10.60</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4"/>
            </w:pPr>
            <w:r>
              <w:t>网络安全建设和测评</w:t>
            </w:r>
          </w:p>
        </w:tc>
        <w:tc>
          <w:tcPr>
            <w:tcW w:w="924" w:type="dxa"/>
            <w:vAlign w:val="center"/>
          </w:tcPr>
          <w:p>
            <w:pPr>
              <w:pStyle w:val="13"/>
            </w:pPr>
            <w:r>
              <w:t>150.00</w:t>
            </w:r>
          </w:p>
        </w:tc>
        <w:tc>
          <w:tcPr>
            <w:tcW w:w="924" w:type="dxa"/>
            <w:vAlign w:val="center"/>
          </w:tcPr>
          <w:p>
            <w:pPr>
              <w:pStyle w:val="14"/>
            </w:pPr>
            <w:r>
              <w:t>其他终端设备</w:t>
            </w:r>
          </w:p>
        </w:tc>
        <w:tc>
          <w:tcPr>
            <w:tcW w:w="924" w:type="dxa"/>
            <w:vAlign w:val="center"/>
          </w:tcPr>
          <w:p>
            <w:pPr>
              <w:pStyle w:val="14"/>
            </w:pPr>
            <w:r>
              <w:t>A02010499</w:t>
            </w:r>
          </w:p>
        </w:tc>
        <w:tc>
          <w:tcPr>
            <w:tcW w:w="924" w:type="dxa"/>
            <w:vAlign w:val="center"/>
          </w:tcPr>
          <w:p>
            <w:pPr>
              <w:pStyle w:val="15"/>
            </w:pPr>
            <w:r>
              <w:t>套</w:t>
            </w:r>
          </w:p>
        </w:tc>
        <w:tc>
          <w:tcPr>
            <w:tcW w:w="924" w:type="dxa"/>
            <w:vAlign w:val="center"/>
          </w:tcPr>
          <w:p>
            <w:pPr>
              <w:pStyle w:val="13"/>
            </w:pPr>
            <w:r>
              <w:t>1</w:t>
            </w:r>
          </w:p>
        </w:tc>
        <w:tc>
          <w:tcPr>
            <w:tcW w:w="924" w:type="dxa"/>
            <w:vAlign w:val="center"/>
          </w:tcPr>
          <w:p>
            <w:pPr>
              <w:pStyle w:val="13"/>
            </w:pPr>
            <w:r>
              <w:t>10.00</w:t>
            </w:r>
          </w:p>
        </w:tc>
        <w:tc>
          <w:tcPr>
            <w:tcW w:w="924" w:type="dxa"/>
            <w:vAlign w:val="center"/>
          </w:tcPr>
          <w:p>
            <w:pPr>
              <w:pStyle w:val="13"/>
            </w:pPr>
            <w:r>
              <w:t>10.00</w:t>
            </w:r>
          </w:p>
        </w:tc>
        <w:tc>
          <w:tcPr>
            <w:tcW w:w="924" w:type="dxa"/>
            <w:vAlign w:val="center"/>
          </w:tcPr>
          <w:p>
            <w:pPr>
              <w:pStyle w:val="13"/>
            </w:pPr>
            <w:r>
              <w:t>10.00</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4"/>
            </w:pPr>
            <w:r>
              <w:t>网络安全建设和测评</w:t>
            </w:r>
          </w:p>
        </w:tc>
        <w:tc>
          <w:tcPr>
            <w:tcW w:w="924" w:type="dxa"/>
            <w:vAlign w:val="center"/>
          </w:tcPr>
          <w:p>
            <w:pPr>
              <w:pStyle w:val="13"/>
            </w:pPr>
            <w:r>
              <w:t>150.00</w:t>
            </w:r>
          </w:p>
        </w:tc>
        <w:tc>
          <w:tcPr>
            <w:tcW w:w="924" w:type="dxa"/>
            <w:vAlign w:val="center"/>
          </w:tcPr>
          <w:p>
            <w:pPr>
              <w:pStyle w:val="14"/>
            </w:pPr>
            <w:r>
              <w:t>其他信息化设备</w:t>
            </w:r>
          </w:p>
        </w:tc>
        <w:tc>
          <w:tcPr>
            <w:tcW w:w="924" w:type="dxa"/>
            <w:vAlign w:val="center"/>
          </w:tcPr>
          <w:p>
            <w:pPr>
              <w:pStyle w:val="14"/>
            </w:pPr>
            <w:r>
              <w:t>A02019900</w:t>
            </w:r>
          </w:p>
        </w:tc>
        <w:tc>
          <w:tcPr>
            <w:tcW w:w="924" w:type="dxa"/>
            <w:vAlign w:val="center"/>
          </w:tcPr>
          <w:p>
            <w:pPr>
              <w:pStyle w:val="15"/>
            </w:pPr>
            <w:r>
              <w:t>套</w:t>
            </w:r>
          </w:p>
        </w:tc>
        <w:tc>
          <w:tcPr>
            <w:tcW w:w="924" w:type="dxa"/>
            <w:vAlign w:val="center"/>
          </w:tcPr>
          <w:p>
            <w:pPr>
              <w:pStyle w:val="13"/>
            </w:pPr>
            <w:r>
              <w:t>1</w:t>
            </w:r>
          </w:p>
        </w:tc>
        <w:tc>
          <w:tcPr>
            <w:tcW w:w="924" w:type="dxa"/>
            <w:vAlign w:val="center"/>
          </w:tcPr>
          <w:p>
            <w:pPr>
              <w:pStyle w:val="13"/>
            </w:pPr>
            <w:r>
              <w:t>10.00</w:t>
            </w:r>
          </w:p>
        </w:tc>
        <w:tc>
          <w:tcPr>
            <w:tcW w:w="924" w:type="dxa"/>
            <w:vAlign w:val="center"/>
          </w:tcPr>
          <w:p>
            <w:pPr>
              <w:pStyle w:val="13"/>
            </w:pPr>
            <w:r>
              <w:t>10.00</w:t>
            </w:r>
          </w:p>
        </w:tc>
        <w:tc>
          <w:tcPr>
            <w:tcW w:w="924" w:type="dxa"/>
            <w:vAlign w:val="center"/>
          </w:tcPr>
          <w:p>
            <w:pPr>
              <w:pStyle w:val="13"/>
            </w:pPr>
            <w:r>
              <w:t>10.00</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4"/>
            </w:pPr>
            <w:r>
              <w:t>网络安全建设和测评</w:t>
            </w:r>
          </w:p>
        </w:tc>
        <w:tc>
          <w:tcPr>
            <w:tcW w:w="924" w:type="dxa"/>
            <w:vAlign w:val="center"/>
          </w:tcPr>
          <w:p>
            <w:pPr>
              <w:pStyle w:val="13"/>
            </w:pPr>
            <w:r>
              <w:t>150.00</w:t>
            </w:r>
          </w:p>
        </w:tc>
        <w:tc>
          <w:tcPr>
            <w:tcW w:w="924" w:type="dxa"/>
            <w:vAlign w:val="center"/>
          </w:tcPr>
          <w:p>
            <w:pPr>
              <w:pStyle w:val="14"/>
            </w:pPr>
            <w:r>
              <w:t>其他运行维护服务</w:t>
            </w:r>
          </w:p>
        </w:tc>
        <w:tc>
          <w:tcPr>
            <w:tcW w:w="924" w:type="dxa"/>
            <w:vAlign w:val="center"/>
          </w:tcPr>
          <w:p>
            <w:pPr>
              <w:pStyle w:val="14"/>
            </w:pPr>
            <w:r>
              <w:t>C16079900</w:t>
            </w:r>
          </w:p>
        </w:tc>
        <w:tc>
          <w:tcPr>
            <w:tcW w:w="924" w:type="dxa"/>
            <w:vAlign w:val="center"/>
          </w:tcPr>
          <w:p>
            <w:pPr>
              <w:pStyle w:val="15"/>
            </w:pPr>
            <w:r>
              <w:t>次</w:t>
            </w:r>
          </w:p>
        </w:tc>
        <w:tc>
          <w:tcPr>
            <w:tcW w:w="924" w:type="dxa"/>
            <w:vAlign w:val="center"/>
          </w:tcPr>
          <w:p>
            <w:pPr>
              <w:pStyle w:val="13"/>
            </w:pPr>
            <w:r>
              <w:t>1</w:t>
            </w:r>
          </w:p>
        </w:tc>
        <w:tc>
          <w:tcPr>
            <w:tcW w:w="924" w:type="dxa"/>
            <w:vAlign w:val="center"/>
          </w:tcPr>
          <w:p>
            <w:pPr>
              <w:pStyle w:val="13"/>
            </w:pPr>
            <w:r>
              <w:t>65.20</w:t>
            </w:r>
          </w:p>
        </w:tc>
        <w:tc>
          <w:tcPr>
            <w:tcW w:w="924" w:type="dxa"/>
            <w:vAlign w:val="center"/>
          </w:tcPr>
          <w:p>
            <w:pPr>
              <w:pStyle w:val="13"/>
            </w:pPr>
            <w:r>
              <w:t>65.20</w:t>
            </w:r>
          </w:p>
        </w:tc>
        <w:tc>
          <w:tcPr>
            <w:tcW w:w="924" w:type="dxa"/>
            <w:vAlign w:val="center"/>
          </w:tcPr>
          <w:p>
            <w:pPr>
              <w:pStyle w:val="13"/>
            </w:pPr>
            <w:r>
              <w:t>65.20</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4"/>
            </w:pPr>
            <w:r>
              <w:t>新租赁办案和技术用房办案办公设备购置</w:t>
            </w:r>
          </w:p>
        </w:tc>
        <w:tc>
          <w:tcPr>
            <w:tcW w:w="924" w:type="dxa"/>
            <w:vAlign w:val="center"/>
          </w:tcPr>
          <w:p>
            <w:pPr>
              <w:pStyle w:val="13"/>
            </w:pPr>
            <w:r>
              <w:t>36.00</w:t>
            </w:r>
          </w:p>
        </w:tc>
        <w:tc>
          <w:tcPr>
            <w:tcW w:w="924" w:type="dxa"/>
            <w:vAlign w:val="center"/>
          </w:tcPr>
          <w:p>
            <w:pPr>
              <w:pStyle w:val="14"/>
            </w:pPr>
            <w:r>
              <w:t>台式计算机</w:t>
            </w:r>
          </w:p>
        </w:tc>
        <w:tc>
          <w:tcPr>
            <w:tcW w:w="924" w:type="dxa"/>
            <w:vAlign w:val="center"/>
          </w:tcPr>
          <w:p>
            <w:pPr>
              <w:pStyle w:val="14"/>
            </w:pPr>
            <w:r>
              <w:t>A02010105</w:t>
            </w:r>
          </w:p>
        </w:tc>
        <w:tc>
          <w:tcPr>
            <w:tcW w:w="924" w:type="dxa"/>
            <w:vAlign w:val="center"/>
          </w:tcPr>
          <w:p>
            <w:pPr>
              <w:pStyle w:val="15"/>
            </w:pPr>
            <w:r>
              <w:t>台</w:t>
            </w:r>
          </w:p>
        </w:tc>
        <w:tc>
          <w:tcPr>
            <w:tcW w:w="924" w:type="dxa"/>
            <w:vAlign w:val="center"/>
          </w:tcPr>
          <w:p>
            <w:pPr>
              <w:pStyle w:val="13"/>
            </w:pPr>
            <w:r>
              <w:t>8</w:t>
            </w:r>
          </w:p>
        </w:tc>
        <w:tc>
          <w:tcPr>
            <w:tcW w:w="924" w:type="dxa"/>
            <w:vAlign w:val="center"/>
          </w:tcPr>
          <w:p>
            <w:pPr>
              <w:pStyle w:val="13"/>
            </w:pPr>
            <w:r>
              <w:t>0.90</w:t>
            </w:r>
          </w:p>
        </w:tc>
        <w:tc>
          <w:tcPr>
            <w:tcW w:w="924" w:type="dxa"/>
            <w:vAlign w:val="center"/>
          </w:tcPr>
          <w:p>
            <w:pPr>
              <w:pStyle w:val="13"/>
            </w:pPr>
            <w:r>
              <w:t>7.20</w:t>
            </w:r>
          </w:p>
        </w:tc>
        <w:tc>
          <w:tcPr>
            <w:tcW w:w="924" w:type="dxa"/>
            <w:vAlign w:val="center"/>
          </w:tcPr>
          <w:p>
            <w:pPr>
              <w:pStyle w:val="13"/>
            </w:pPr>
            <w:r>
              <w:t>7.20</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r>
              <w:t>7.20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4"/>
            </w:pPr>
            <w:r>
              <w:t>新租赁办案和技术用房办案办公设备购置</w:t>
            </w:r>
          </w:p>
        </w:tc>
        <w:tc>
          <w:tcPr>
            <w:tcW w:w="924" w:type="dxa"/>
            <w:vAlign w:val="center"/>
          </w:tcPr>
          <w:p>
            <w:pPr>
              <w:pStyle w:val="13"/>
            </w:pPr>
            <w:r>
              <w:t>36.00</w:t>
            </w:r>
          </w:p>
        </w:tc>
        <w:tc>
          <w:tcPr>
            <w:tcW w:w="924" w:type="dxa"/>
            <w:vAlign w:val="center"/>
          </w:tcPr>
          <w:p>
            <w:pPr>
              <w:pStyle w:val="14"/>
            </w:pPr>
            <w:r>
              <w:t>A4 彩色打印机</w:t>
            </w:r>
          </w:p>
        </w:tc>
        <w:tc>
          <w:tcPr>
            <w:tcW w:w="924" w:type="dxa"/>
            <w:vAlign w:val="center"/>
          </w:tcPr>
          <w:p>
            <w:pPr>
              <w:pStyle w:val="14"/>
            </w:pPr>
            <w:r>
              <w:t>A02021004</w:t>
            </w:r>
          </w:p>
        </w:tc>
        <w:tc>
          <w:tcPr>
            <w:tcW w:w="924" w:type="dxa"/>
            <w:vAlign w:val="center"/>
          </w:tcPr>
          <w:p>
            <w:pPr>
              <w:pStyle w:val="15"/>
            </w:pPr>
            <w:r>
              <w:t>台</w:t>
            </w:r>
          </w:p>
        </w:tc>
        <w:tc>
          <w:tcPr>
            <w:tcW w:w="924" w:type="dxa"/>
            <w:vAlign w:val="center"/>
          </w:tcPr>
          <w:p>
            <w:pPr>
              <w:pStyle w:val="13"/>
            </w:pPr>
            <w:r>
              <w:t>8</w:t>
            </w:r>
          </w:p>
        </w:tc>
        <w:tc>
          <w:tcPr>
            <w:tcW w:w="924" w:type="dxa"/>
            <w:vAlign w:val="center"/>
          </w:tcPr>
          <w:p>
            <w:pPr>
              <w:pStyle w:val="13"/>
            </w:pPr>
            <w:r>
              <w:t>0.60</w:t>
            </w:r>
          </w:p>
        </w:tc>
        <w:tc>
          <w:tcPr>
            <w:tcW w:w="924" w:type="dxa"/>
            <w:vAlign w:val="center"/>
          </w:tcPr>
          <w:p>
            <w:pPr>
              <w:pStyle w:val="13"/>
            </w:pPr>
            <w:r>
              <w:t>4.80</w:t>
            </w:r>
          </w:p>
        </w:tc>
        <w:tc>
          <w:tcPr>
            <w:tcW w:w="924" w:type="dxa"/>
            <w:vAlign w:val="center"/>
          </w:tcPr>
          <w:p>
            <w:pPr>
              <w:pStyle w:val="13"/>
            </w:pPr>
            <w:r>
              <w:t>4.80</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r>
              <w:t>4.80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4"/>
            </w:pPr>
            <w:r>
              <w:t>新租赁办案和技术用房办案办公设备购置</w:t>
            </w:r>
          </w:p>
        </w:tc>
        <w:tc>
          <w:tcPr>
            <w:tcW w:w="924" w:type="dxa"/>
            <w:vAlign w:val="center"/>
          </w:tcPr>
          <w:p>
            <w:pPr>
              <w:pStyle w:val="13"/>
            </w:pPr>
            <w:r>
              <w:t>36.00</w:t>
            </w:r>
          </w:p>
        </w:tc>
        <w:tc>
          <w:tcPr>
            <w:tcW w:w="924" w:type="dxa"/>
            <w:vAlign w:val="center"/>
          </w:tcPr>
          <w:p>
            <w:pPr>
              <w:pStyle w:val="14"/>
            </w:pPr>
            <w:r>
              <w:t>扫描仪</w:t>
            </w:r>
          </w:p>
        </w:tc>
        <w:tc>
          <w:tcPr>
            <w:tcW w:w="924" w:type="dxa"/>
            <w:vAlign w:val="center"/>
          </w:tcPr>
          <w:p>
            <w:pPr>
              <w:pStyle w:val="14"/>
            </w:pPr>
            <w:r>
              <w:t>A02021118</w:t>
            </w:r>
          </w:p>
        </w:tc>
        <w:tc>
          <w:tcPr>
            <w:tcW w:w="924" w:type="dxa"/>
            <w:vAlign w:val="center"/>
          </w:tcPr>
          <w:p>
            <w:pPr>
              <w:pStyle w:val="15"/>
            </w:pPr>
            <w:r>
              <w:t>台</w:t>
            </w:r>
          </w:p>
        </w:tc>
        <w:tc>
          <w:tcPr>
            <w:tcW w:w="924" w:type="dxa"/>
            <w:vAlign w:val="center"/>
          </w:tcPr>
          <w:p>
            <w:pPr>
              <w:pStyle w:val="13"/>
            </w:pPr>
            <w:r>
              <w:t>16</w:t>
            </w:r>
          </w:p>
        </w:tc>
        <w:tc>
          <w:tcPr>
            <w:tcW w:w="924" w:type="dxa"/>
            <w:vAlign w:val="center"/>
          </w:tcPr>
          <w:p>
            <w:pPr>
              <w:pStyle w:val="13"/>
            </w:pPr>
            <w:r>
              <w:t>0.20</w:t>
            </w:r>
          </w:p>
        </w:tc>
        <w:tc>
          <w:tcPr>
            <w:tcW w:w="924" w:type="dxa"/>
            <w:vAlign w:val="center"/>
          </w:tcPr>
          <w:p>
            <w:pPr>
              <w:pStyle w:val="13"/>
            </w:pPr>
            <w:r>
              <w:t>3.20</w:t>
            </w:r>
          </w:p>
        </w:tc>
        <w:tc>
          <w:tcPr>
            <w:tcW w:w="924" w:type="dxa"/>
            <w:vAlign w:val="center"/>
          </w:tcPr>
          <w:p>
            <w:pPr>
              <w:pStyle w:val="13"/>
            </w:pPr>
            <w:r>
              <w:t>3.20</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r>
              <w:t>3.20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4"/>
            </w:pPr>
            <w:r>
              <w:t>新租赁办案和技术用房办案办公设备购置</w:t>
            </w:r>
          </w:p>
        </w:tc>
        <w:tc>
          <w:tcPr>
            <w:tcW w:w="924" w:type="dxa"/>
            <w:vAlign w:val="center"/>
          </w:tcPr>
          <w:p>
            <w:pPr>
              <w:pStyle w:val="13"/>
            </w:pPr>
            <w:r>
              <w:t>36.00</w:t>
            </w:r>
          </w:p>
        </w:tc>
        <w:tc>
          <w:tcPr>
            <w:tcW w:w="924" w:type="dxa"/>
            <w:vAlign w:val="center"/>
          </w:tcPr>
          <w:p>
            <w:pPr>
              <w:pStyle w:val="14"/>
            </w:pPr>
            <w:r>
              <w:t>专用制冷空调设备</w:t>
            </w:r>
          </w:p>
        </w:tc>
        <w:tc>
          <w:tcPr>
            <w:tcW w:w="924" w:type="dxa"/>
            <w:vAlign w:val="center"/>
          </w:tcPr>
          <w:p>
            <w:pPr>
              <w:pStyle w:val="14"/>
            </w:pPr>
            <w:r>
              <w:t>A02052309</w:t>
            </w:r>
          </w:p>
        </w:tc>
        <w:tc>
          <w:tcPr>
            <w:tcW w:w="924" w:type="dxa"/>
            <w:vAlign w:val="center"/>
          </w:tcPr>
          <w:p>
            <w:pPr>
              <w:pStyle w:val="15"/>
            </w:pPr>
            <w:r>
              <w:t>个</w:t>
            </w:r>
          </w:p>
        </w:tc>
        <w:tc>
          <w:tcPr>
            <w:tcW w:w="924" w:type="dxa"/>
            <w:vAlign w:val="center"/>
          </w:tcPr>
          <w:p>
            <w:pPr>
              <w:pStyle w:val="13"/>
            </w:pPr>
            <w:r>
              <w:t>1</w:t>
            </w:r>
          </w:p>
        </w:tc>
        <w:tc>
          <w:tcPr>
            <w:tcW w:w="924" w:type="dxa"/>
            <w:vAlign w:val="center"/>
          </w:tcPr>
          <w:p>
            <w:pPr>
              <w:pStyle w:val="13"/>
            </w:pPr>
            <w:r>
              <w:t>0.90</w:t>
            </w:r>
          </w:p>
        </w:tc>
        <w:tc>
          <w:tcPr>
            <w:tcW w:w="924" w:type="dxa"/>
            <w:vAlign w:val="center"/>
          </w:tcPr>
          <w:p>
            <w:pPr>
              <w:pStyle w:val="13"/>
            </w:pPr>
            <w:r>
              <w:t>0.90</w:t>
            </w:r>
          </w:p>
        </w:tc>
        <w:tc>
          <w:tcPr>
            <w:tcW w:w="924" w:type="dxa"/>
            <w:vAlign w:val="center"/>
          </w:tcPr>
          <w:p>
            <w:pPr>
              <w:pStyle w:val="13"/>
            </w:pPr>
            <w:r>
              <w:t>0.90</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r>
              <w:t>0.90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4"/>
            </w:pPr>
            <w:r>
              <w:t>新租赁办案和技术用房办案办公设备购置</w:t>
            </w:r>
          </w:p>
        </w:tc>
        <w:tc>
          <w:tcPr>
            <w:tcW w:w="924" w:type="dxa"/>
            <w:vAlign w:val="center"/>
          </w:tcPr>
          <w:p>
            <w:pPr>
              <w:pStyle w:val="13"/>
            </w:pPr>
            <w:r>
              <w:t>36.00</w:t>
            </w:r>
          </w:p>
        </w:tc>
        <w:tc>
          <w:tcPr>
            <w:tcW w:w="924" w:type="dxa"/>
            <w:vAlign w:val="center"/>
          </w:tcPr>
          <w:p>
            <w:pPr>
              <w:pStyle w:val="14"/>
            </w:pPr>
            <w:r>
              <w:t>专用制冷空调设备</w:t>
            </w:r>
          </w:p>
        </w:tc>
        <w:tc>
          <w:tcPr>
            <w:tcW w:w="924" w:type="dxa"/>
            <w:vAlign w:val="center"/>
          </w:tcPr>
          <w:p>
            <w:pPr>
              <w:pStyle w:val="14"/>
            </w:pPr>
            <w:r>
              <w:t>A02052309</w:t>
            </w:r>
          </w:p>
        </w:tc>
        <w:tc>
          <w:tcPr>
            <w:tcW w:w="924" w:type="dxa"/>
            <w:vAlign w:val="center"/>
          </w:tcPr>
          <w:p>
            <w:pPr>
              <w:pStyle w:val="15"/>
            </w:pPr>
            <w:r>
              <w:t>个</w:t>
            </w:r>
          </w:p>
        </w:tc>
        <w:tc>
          <w:tcPr>
            <w:tcW w:w="924" w:type="dxa"/>
            <w:vAlign w:val="center"/>
          </w:tcPr>
          <w:p>
            <w:pPr>
              <w:pStyle w:val="13"/>
            </w:pPr>
            <w:r>
              <w:t>16</w:t>
            </w:r>
          </w:p>
        </w:tc>
        <w:tc>
          <w:tcPr>
            <w:tcW w:w="924" w:type="dxa"/>
            <w:vAlign w:val="center"/>
          </w:tcPr>
          <w:p>
            <w:pPr>
              <w:pStyle w:val="13"/>
            </w:pPr>
            <w:r>
              <w:t>0.30</w:t>
            </w:r>
          </w:p>
        </w:tc>
        <w:tc>
          <w:tcPr>
            <w:tcW w:w="924" w:type="dxa"/>
            <w:vAlign w:val="center"/>
          </w:tcPr>
          <w:p>
            <w:pPr>
              <w:pStyle w:val="13"/>
            </w:pPr>
            <w:r>
              <w:t>4.80</w:t>
            </w:r>
          </w:p>
        </w:tc>
        <w:tc>
          <w:tcPr>
            <w:tcW w:w="924" w:type="dxa"/>
            <w:vAlign w:val="center"/>
          </w:tcPr>
          <w:p>
            <w:pPr>
              <w:pStyle w:val="13"/>
            </w:pPr>
            <w:r>
              <w:t>4.80</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r>
              <w:t>4.80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4"/>
            </w:pPr>
            <w:r>
              <w:t>新租赁办案和技术用房办案办公设备购置</w:t>
            </w:r>
          </w:p>
        </w:tc>
        <w:tc>
          <w:tcPr>
            <w:tcW w:w="924" w:type="dxa"/>
            <w:vAlign w:val="center"/>
          </w:tcPr>
          <w:p>
            <w:pPr>
              <w:pStyle w:val="13"/>
            </w:pPr>
            <w:r>
              <w:t>36.00</w:t>
            </w:r>
          </w:p>
        </w:tc>
        <w:tc>
          <w:tcPr>
            <w:tcW w:w="924" w:type="dxa"/>
            <w:vAlign w:val="center"/>
          </w:tcPr>
          <w:p>
            <w:pPr>
              <w:pStyle w:val="14"/>
            </w:pPr>
            <w:r>
              <w:t>空气净化设备</w:t>
            </w:r>
          </w:p>
        </w:tc>
        <w:tc>
          <w:tcPr>
            <w:tcW w:w="924" w:type="dxa"/>
            <w:vAlign w:val="center"/>
          </w:tcPr>
          <w:p>
            <w:pPr>
              <w:pStyle w:val="14"/>
            </w:pPr>
            <w:r>
              <w:t>A02061806</w:t>
            </w:r>
          </w:p>
        </w:tc>
        <w:tc>
          <w:tcPr>
            <w:tcW w:w="924" w:type="dxa"/>
            <w:vAlign w:val="center"/>
          </w:tcPr>
          <w:p>
            <w:pPr>
              <w:pStyle w:val="15"/>
            </w:pPr>
            <w:r>
              <w:t>个</w:t>
            </w:r>
          </w:p>
        </w:tc>
        <w:tc>
          <w:tcPr>
            <w:tcW w:w="924" w:type="dxa"/>
            <w:vAlign w:val="center"/>
          </w:tcPr>
          <w:p>
            <w:pPr>
              <w:pStyle w:val="13"/>
            </w:pPr>
            <w:r>
              <w:t>1</w:t>
            </w:r>
          </w:p>
        </w:tc>
        <w:tc>
          <w:tcPr>
            <w:tcW w:w="924" w:type="dxa"/>
            <w:vAlign w:val="center"/>
          </w:tcPr>
          <w:p>
            <w:pPr>
              <w:pStyle w:val="13"/>
            </w:pPr>
            <w:r>
              <w:t>0.24</w:t>
            </w:r>
          </w:p>
        </w:tc>
        <w:tc>
          <w:tcPr>
            <w:tcW w:w="924" w:type="dxa"/>
            <w:vAlign w:val="center"/>
          </w:tcPr>
          <w:p>
            <w:pPr>
              <w:pStyle w:val="13"/>
            </w:pPr>
            <w:r>
              <w:t>0.24</w:t>
            </w:r>
          </w:p>
        </w:tc>
        <w:tc>
          <w:tcPr>
            <w:tcW w:w="924" w:type="dxa"/>
            <w:vAlign w:val="center"/>
          </w:tcPr>
          <w:p>
            <w:pPr>
              <w:pStyle w:val="13"/>
            </w:pPr>
            <w:r>
              <w:t>0.24</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r>
              <w:t>0.24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4"/>
            </w:pPr>
            <w:r>
              <w:t>新租赁办案和技术用房办案办公设备购置</w:t>
            </w:r>
          </w:p>
        </w:tc>
        <w:tc>
          <w:tcPr>
            <w:tcW w:w="924" w:type="dxa"/>
            <w:vAlign w:val="center"/>
          </w:tcPr>
          <w:p>
            <w:pPr>
              <w:pStyle w:val="13"/>
            </w:pPr>
            <w:r>
              <w:t>36.00</w:t>
            </w:r>
          </w:p>
        </w:tc>
        <w:tc>
          <w:tcPr>
            <w:tcW w:w="924" w:type="dxa"/>
            <w:vAlign w:val="center"/>
          </w:tcPr>
          <w:p>
            <w:pPr>
              <w:pStyle w:val="14"/>
            </w:pPr>
            <w:r>
              <w:t>茶几</w:t>
            </w:r>
          </w:p>
        </w:tc>
        <w:tc>
          <w:tcPr>
            <w:tcW w:w="924" w:type="dxa"/>
            <w:vAlign w:val="center"/>
          </w:tcPr>
          <w:p>
            <w:pPr>
              <w:pStyle w:val="14"/>
            </w:pPr>
            <w:r>
              <w:t>A05010204</w:t>
            </w:r>
          </w:p>
        </w:tc>
        <w:tc>
          <w:tcPr>
            <w:tcW w:w="924" w:type="dxa"/>
            <w:vAlign w:val="center"/>
          </w:tcPr>
          <w:p>
            <w:pPr>
              <w:pStyle w:val="15"/>
            </w:pPr>
            <w:r>
              <w:t>个</w:t>
            </w:r>
          </w:p>
        </w:tc>
        <w:tc>
          <w:tcPr>
            <w:tcW w:w="924" w:type="dxa"/>
            <w:vAlign w:val="center"/>
          </w:tcPr>
          <w:p>
            <w:pPr>
              <w:pStyle w:val="13"/>
            </w:pPr>
            <w:r>
              <w:t>4</w:t>
            </w:r>
          </w:p>
        </w:tc>
        <w:tc>
          <w:tcPr>
            <w:tcW w:w="924" w:type="dxa"/>
            <w:vAlign w:val="center"/>
          </w:tcPr>
          <w:p>
            <w:pPr>
              <w:pStyle w:val="13"/>
            </w:pPr>
            <w:r>
              <w:t>0.05</w:t>
            </w:r>
          </w:p>
        </w:tc>
        <w:tc>
          <w:tcPr>
            <w:tcW w:w="924" w:type="dxa"/>
            <w:vAlign w:val="center"/>
          </w:tcPr>
          <w:p>
            <w:pPr>
              <w:pStyle w:val="13"/>
            </w:pPr>
            <w:r>
              <w:t>0.18</w:t>
            </w:r>
          </w:p>
        </w:tc>
        <w:tc>
          <w:tcPr>
            <w:tcW w:w="924" w:type="dxa"/>
            <w:vAlign w:val="center"/>
          </w:tcPr>
          <w:p>
            <w:pPr>
              <w:pStyle w:val="13"/>
            </w:pPr>
            <w:r>
              <w:t>0.18</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r>
              <w:t>0.18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4"/>
            </w:pPr>
            <w:r>
              <w:t>新租赁办案和技术用房办案办公设备购置</w:t>
            </w:r>
          </w:p>
        </w:tc>
        <w:tc>
          <w:tcPr>
            <w:tcW w:w="924" w:type="dxa"/>
            <w:vAlign w:val="center"/>
          </w:tcPr>
          <w:p>
            <w:pPr>
              <w:pStyle w:val="13"/>
            </w:pPr>
            <w:r>
              <w:t>36.00</w:t>
            </w:r>
          </w:p>
        </w:tc>
        <w:tc>
          <w:tcPr>
            <w:tcW w:w="924" w:type="dxa"/>
            <w:vAlign w:val="center"/>
          </w:tcPr>
          <w:p>
            <w:pPr>
              <w:pStyle w:val="14"/>
            </w:pPr>
            <w:r>
              <w:t>其他台、桌类</w:t>
            </w:r>
          </w:p>
        </w:tc>
        <w:tc>
          <w:tcPr>
            <w:tcW w:w="924" w:type="dxa"/>
            <w:vAlign w:val="center"/>
          </w:tcPr>
          <w:p>
            <w:pPr>
              <w:pStyle w:val="14"/>
            </w:pPr>
            <w:r>
              <w:t>A05010299</w:t>
            </w:r>
          </w:p>
        </w:tc>
        <w:tc>
          <w:tcPr>
            <w:tcW w:w="924" w:type="dxa"/>
            <w:vAlign w:val="center"/>
          </w:tcPr>
          <w:p>
            <w:pPr>
              <w:pStyle w:val="15"/>
            </w:pPr>
            <w:r>
              <w:t>个</w:t>
            </w:r>
          </w:p>
        </w:tc>
        <w:tc>
          <w:tcPr>
            <w:tcW w:w="924" w:type="dxa"/>
            <w:vAlign w:val="center"/>
          </w:tcPr>
          <w:p>
            <w:pPr>
              <w:pStyle w:val="13"/>
            </w:pPr>
            <w:r>
              <w:t>6</w:t>
            </w:r>
          </w:p>
        </w:tc>
        <w:tc>
          <w:tcPr>
            <w:tcW w:w="924" w:type="dxa"/>
            <w:vAlign w:val="center"/>
          </w:tcPr>
          <w:p>
            <w:pPr>
              <w:pStyle w:val="13"/>
            </w:pPr>
            <w:r>
              <w:t>0.13</w:t>
            </w:r>
          </w:p>
        </w:tc>
        <w:tc>
          <w:tcPr>
            <w:tcW w:w="924" w:type="dxa"/>
            <w:vAlign w:val="center"/>
          </w:tcPr>
          <w:p>
            <w:pPr>
              <w:pStyle w:val="13"/>
            </w:pPr>
            <w:r>
              <w:t>0.78</w:t>
            </w:r>
          </w:p>
        </w:tc>
        <w:tc>
          <w:tcPr>
            <w:tcW w:w="924" w:type="dxa"/>
            <w:vAlign w:val="center"/>
          </w:tcPr>
          <w:p>
            <w:pPr>
              <w:pStyle w:val="13"/>
            </w:pPr>
            <w:r>
              <w:t>0.78</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r>
              <w:t>0.78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4"/>
            </w:pPr>
            <w:r>
              <w:t>新租赁办案和技术用房办案办公设备购置</w:t>
            </w:r>
          </w:p>
        </w:tc>
        <w:tc>
          <w:tcPr>
            <w:tcW w:w="924" w:type="dxa"/>
            <w:vAlign w:val="center"/>
          </w:tcPr>
          <w:p>
            <w:pPr>
              <w:pStyle w:val="13"/>
            </w:pPr>
            <w:r>
              <w:t>36.00</w:t>
            </w:r>
          </w:p>
        </w:tc>
        <w:tc>
          <w:tcPr>
            <w:tcW w:w="924" w:type="dxa"/>
            <w:vAlign w:val="center"/>
          </w:tcPr>
          <w:p>
            <w:pPr>
              <w:pStyle w:val="14"/>
            </w:pPr>
            <w:r>
              <w:t>其他台、桌类</w:t>
            </w:r>
          </w:p>
        </w:tc>
        <w:tc>
          <w:tcPr>
            <w:tcW w:w="924" w:type="dxa"/>
            <w:vAlign w:val="center"/>
          </w:tcPr>
          <w:p>
            <w:pPr>
              <w:pStyle w:val="14"/>
            </w:pPr>
            <w:r>
              <w:t>A05010299</w:t>
            </w:r>
          </w:p>
        </w:tc>
        <w:tc>
          <w:tcPr>
            <w:tcW w:w="924" w:type="dxa"/>
            <w:vAlign w:val="center"/>
          </w:tcPr>
          <w:p>
            <w:pPr>
              <w:pStyle w:val="15"/>
            </w:pPr>
            <w:r>
              <w:t>个</w:t>
            </w:r>
          </w:p>
        </w:tc>
        <w:tc>
          <w:tcPr>
            <w:tcW w:w="924" w:type="dxa"/>
            <w:vAlign w:val="center"/>
          </w:tcPr>
          <w:p>
            <w:pPr>
              <w:pStyle w:val="13"/>
            </w:pPr>
            <w:r>
              <w:t>44</w:t>
            </w:r>
          </w:p>
        </w:tc>
        <w:tc>
          <w:tcPr>
            <w:tcW w:w="924" w:type="dxa"/>
            <w:vAlign w:val="center"/>
          </w:tcPr>
          <w:p>
            <w:pPr>
              <w:pStyle w:val="13"/>
            </w:pPr>
            <w:r>
              <w:t>0.05</w:t>
            </w:r>
          </w:p>
        </w:tc>
        <w:tc>
          <w:tcPr>
            <w:tcW w:w="924" w:type="dxa"/>
            <w:vAlign w:val="center"/>
          </w:tcPr>
          <w:p>
            <w:pPr>
              <w:pStyle w:val="13"/>
            </w:pPr>
            <w:r>
              <w:t>2.20</w:t>
            </w:r>
          </w:p>
        </w:tc>
        <w:tc>
          <w:tcPr>
            <w:tcW w:w="924" w:type="dxa"/>
            <w:vAlign w:val="center"/>
          </w:tcPr>
          <w:p>
            <w:pPr>
              <w:pStyle w:val="13"/>
            </w:pPr>
            <w:r>
              <w:t>2.20</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r>
              <w:t>2.20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4"/>
            </w:pPr>
            <w:r>
              <w:t>新租赁办案和技术用房办案办公设备购置</w:t>
            </w:r>
          </w:p>
        </w:tc>
        <w:tc>
          <w:tcPr>
            <w:tcW w:w="924" w:type="dxa"/>
            <w:vAlign w:val="center"/>
          </w:tcPr>
          <w:p>
            <w:pPr>
              <w:pStyle w:val="13"/>
            </w:pPr>
            <w:r>
              <w:t>36.00</w:t>
            </w:r>
          </w:p>
        </w:tc>
        <w:tc>
          <w:tcPr>
            <w:tcW w:w="924" w:type="dxa"/>
            <w:vAlign w:val="center"/>
          </w:tcPr>
          <w:p>
            <w:pPr>
              <w:pStyle w:val="14"/>
            </w:pPr>
            <w:r>
              <w:t>桌前椅</w:t>
            </w:r>
          </w:p>
        </w:tc>
        <w:tc>
          <w:tcPr>
            <w:tcW w:w="924" w:type="dxa"/>
            <w:vAlign w:val="center"/>
          </w:tcPr>
          <w:p>
            <w:pPr>
              <w:pStyle w:val="14"/>
            </w:pPr>
            <w:r>
              <w:t>A05010302</w:t>
            </w:r>
          </w:p>
        </w:tc>
        <w:tc>
          <w:tcPr>
            <w:tcW w:w="924" w:type="dxa"/>
            <w:vAlign w:val="center"/>
          </w:tcPr>
          <w:p>
            <w:pPr>
              <w:pStyle w:val="15"/>
            </w:pPr>
            <w:r>
              <w:t>个</w:t>
            </w:r>
          </w:p>
        </w:tc>
        <w:tc>
          <w:tcPr>
            <w:tcW w:w="924" w:type="dxa"/>
            <w:vAlign w:val="center"/>
          </w:tcPr>
          <w:p>
            <w:pPr>
              <w:pStyle w:val="13"/>
            </w:pPr>
            <w:r>
              <w:t>88</w:t>
            </w:r>
          </w:p>
        </w:tc>
        <w:tc>
          <w:tcPr>
            <w:tcW w:w="924" w:type="dxa"/>
            <w:vAlign w:val="center"/>
          </w:tcPr>
          <w:p>
            <w:pPr>
              <w:pStyle w:val="13"/>
            </w:pPr>
            <w:r>
              <w:t>0.03</w:t>
            </w:r>
          </w:p>
        </w:tc>
        <w:tc>
          <w:tcPr>
            <w:tcW w:w="924" w:type="dxa"/>
            <w:vAlign w:val="center"/>
          </w:tcPr>
          <w:p>
            <w:pPr>
              <w:pStyle w:val="13"/>
            </w:pPr>
            <w:r>
              <w:t>2.20</w:t>
            </w:r>
          </w:p>
        </w:tc>
        <w:tc>
          <w:tcPr>
            <w:tcW w:w="924" w:type="dxa"/>
            <w:vAlign w:val="center"/>
          </w:tcPr>
          <w:p>
            <w:pPr>
              <w:pStyle w:val="13"/>
            </w:pPr>
            <w:r>
              <w:t>2.20</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r>
              <w:t>2.20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4"/>
            </w:pPr>
            <w:r>
              <w:t>新租赁办案和技术用房办案办公设备购置</w:t>
            </w:r>
          </w:p>
        </w:tc>
        <w:tc>
          <w:tcPr>
            <w:tcW w:w="924" w:type="dxa"/>
            <w:vAlign w:val="center"/>
          </w:tcPr>
          <w:p>
            <w:pPr>
              <w:pStyle w:val="13"/>
            </w:pPr>
            <w:r>
              <w:t>36.00</w:t>
            </w:r>
          </w:p>
        </w:tc>
        <w:tc>
          <w:tcPr>
            <w:tcW w:w="924" w:type="dxa"/>
            <w:vAlign w:val="center"/>
          </w:tcPr>
          <w:p>
            <w:pPr>
              <w:pStyle w:val="14"/>
            </w:pPr>
            <w:r>
              <w:t>其他椅凳类</w:t>
            </w:r>
          </w:p>
        </w:tc>
        <w:tc>
          <w:tcPr>
            <w:tcW w:w="924" w:type="dxa"/>
            <w:vAlign w:val="center"/>
          </w:tcPr>
          <w:p>
            <w:pPr>
              <w:pStyle w:val="14"/>
            </w:pPr>
            <w:r>
              <w:t>A05010399</w:t>
            </w:r>
          </w:p>
        </w:tc>
        <w:tc>
          <w:tcPr>
            <w:tcW w:w="924" w:type="dxa"/>
            <w:vAlign w:val="center"/>
          </w:tcPr>
          <w:p>
            <w:pPr>
              <w:pStyle w:val="15"/>
            </w:pPr>
            <w:r>
              <w:t>个</w:t>
            </w:r>
          </w:p>
        </w:tc>
        <w:tc>
          <w:tcPr>
            <w:tcW w:w="924" w:type="dxa"/>
            <w:vAlign w:val="center"/>
          </w:tcPr>
          <w:p>
            <w:pPr>
              <w:pStyle w:val="13"/>
            </w:pPr>
            <w:r>
              <w:t>7</w:t>
            </w:r>
          </w:p>
        </w:tc>
        <w:tc>
          <w:tcPr>
            <w:tcW w:w="924" w:type="dxa"/>
            <w:vAlign w:val="center"/>
          </w:tcPr>
          <w:p>
            <w:pPr>
              <w:pStyle w:val="13"/>
            </w:pPr>
            <w:r>
              <w:t>0.08</w:t>
            </w:r>
          </w:p>
        </w:tc>
        <w:tc>
          <w:tcPr>
            <w:tcW w:w="924" w:type="dxa"/>
            <w:vAlign w:val="center"/>
          </w:tcPr>
          <w:p>
            <w:pPr>
              <w:pStyle w:val="13"/>
            </w:pPr>
            <w:r>
              <w:t>0.56</w:t>
            </w:r>
          </w:p>
        </w:tc>
        <w:tc>
          <w:tcPr>
            <w:tcW w:w="924" w:type="dxa"/>
            <w:vAlign w:val="center"/>
          </w:tcPr>
          <w:p>
            <w:pPr>
              <w:pStyle w:val="13"/>
            </w:pPr>
            <w:r>
              <w:t>0.56</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r>
              <w:t>0.56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4"/>
            </w:pPr>
            <w:r>
              <w:t>新租赁办案和技术用房办案办公设备购置</w:t>
            </w:r>
          </w:p>
        </w:tc>
        <w:tc>
          <w:tcPr>
            <w:tcW w:w="924" w:type="dxa"/>
            <w:vAlign w:val="center"/>
          </w:tcPr>
          <w:p>
            <w:pPr>
              <w:pStyle w:val="13"/>
            </w:pPr>
            <w:r>
              <w:t>36.00</w:t>
            </w:r>
          </w:p>
        </w:tc>
        <w:tc>
          <w:tcPr>
            <w:tcW w:w="924" w:type="dxa"/>
            <w:vAlign w:val="center"/>
          </w:tcPr>
          <w:p>
            <w:pPr>
              <w:pStyle w:val="14"/>
            </w:pPr>
            <w:r>
              <w:t>其他椅凳类</w:t>
            </w:r>
          </w:p>
        </w:tc>
        <w:tc>
          <w:tcPr>
            <w:tcW w:w="924" w:type="dxa"/>
            <w:vAlign w:val="center"/>
          </w:tcPr>
          <w:p>
            <w:pPr>
              <w:pStyle w:val="14"/>
            </w:pPr>
            <w:r>
              <w:t>A05010399</w:t>
            </w:r>
          </w:p>
        </w:tc>
        <w:tc>
          <w:tcPr>
            <w:tcW w:w="924" w:type="dxa"/>
            <w:vAlign w:val="center"/>
          </w:tcPr>
          <w:p>
            <w:pPr>
              <w:pStyle w:val="15"/>
            </w:pPr>
            <w:r>
              <w:t>个</w:t>
            </w:r>
          </w:p>
        </w:tc>
        <w:tc>
          <w:tcPr>
            <w:tcW w:w="924" w:type="dxa"/>
            <w:vAlign w:val="center"/>
          </w:tcPr>
          <w:p>
            <w:pPr>
              <w:pStyle w:val="13"/>
            </w:pPr>
            <w:r>
              <w:t>4</w:t>
            </w:r>
          </w:p>
        </w:tc>
        <w:tc>
          <w:tcPr>
            <w:tcW w:w="924" w:type="dxa"/>
            <w:vAlign w:val="center"/>
          </w:tcPr>
          <w:p>
            <w:pPr>
              <w:pStyle w:val="13"/>
            </w:pPr>
            <w:r>
              <w:t>0.05</w:t>
            </w:r>
          </w:p>
        </w:tc>
        <w:tc>
          <w:tcPr>
            <w:tcW w:w="924" w:type="dxa"/>
            <w:vAlign w:val="center"/>
          </w:tcPr>
          <w:p>
            <w:pPr>
              <w:pStyle w:val="13"/>
            </w:pPr>
            <w:r>
              <w:t>0.18</w:t>
            </w:r>
          </w:p>
        </w:tc>
        <w:tc>
          <w:tcPr>
            <w:tcW w:w="924" w:type="dxa"/>
            <w:vAlign w:val="center"/>
          </w:tcPr>
          <w:p>
            <w:pPr>
              <w:pStyle w:val="13"/>
            </w:pPr>
            <w:r>
              <w:t>0.18</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r>
              <w:t>0.18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4"/>
            </w:pPr>
            <w:r>
              <w:t>新租赁办案和技术用房办案办公设备购置</w:t>
            </w:r>
          </w:p>
        </w:tc>
        <w:tc>
          <w:tcPr>
            <w:tcW w:w="924" w:type="dxa"/>
            <w:vAlign w:val="center"/>
          </w:tcPr>
          <w:p>
            <w:pPr>
              <w:pStyle w:val="13"/>
            </w:pPr>
            <w:r>
              <w:t>36.00</w:t>
            </w:r>
          </w:p>
        </w:tc>
        <w:tc>
          <w:tcPr>
            <w:tcW w:w="924" w:type="dxa"/>
            <w:vAlign w:val="center"/>
          </w:tcPr>
          <w:p>
            <w:pPr>
              <w:pStyle w:val="14"/>
            </w:pPr>
            <w:r>
              <w:t>其他沙发类</w:t>
            </w:r>
          </w:p>
        </w:tc>
        <w:tc>
          <w:tcPr>
            <w:tcW w:w="924" w:type="dxa"/>
            <w:vAlign w:val="center"/>
          </w:tcPr>
          <w:p>
            <w:pPr>
              <w:pStyle w:val="14"/>
            </w:pPr>
            <w:r>
              <w:t>A05010499</w:t>
            </w:r>
          </w:p>
        </w:tc>
        <w:tc>
          <w:tcPr>
            <w:tcW w:w="924" w:type="dxa"/>
            <w:vAlign w:val="center"/>
          </w:tcPr>
          <w:p>
            <w:pPr>
              <w:pStyle w:val="15"/>
            </w:pPr>
            <w:r>
              <w:t>个</w:t>
            </w:r>
          </w:p>
        </w:tc>
        <w:tc>
          <w:tcPr>
            <w:tcW w:w="924" w:type="dxa"/>
            <w:vAlign w:val="center"/>
          </w:tcPr>
          <w:p>
            <w:pPr>
              <w:pStyle w:val="13"/>
            </w:pPr>
            <w:r>
              <w:t>10</w:t>
            </w:r>
          </w:p>
        </w:tc>
        <w:tc>
          <w:tcPr>
            <w:tcW w:w="924" w:type="dxa"/>
            <w:vAlign w:val="center"/>
          </w:tcPr>
          <w:p>
            <w:pPr>
              <w:pStyle w:val="13"/>
            </w:pPr>
            <w:r>
              <w:t>0.06</w:t>
            </w:r>
          </w:p>
        </w:tc>
        <w:tc>
          <w:tcPr>
            <w:tcW w:w="924" w:type="dxa"/>
            <w:vAlign w:val="center"/>
          </w:tcPr>
          <w:p>
            <w:pPr>
              <w:pStyle w:val="13"/>
            </w:pPr>
            <w:r>
              <w:t>0.60</w:t>
            </w:r>
          </w:p>
        </w:tc>
        <w:tc>
          <w:tcPr>
            <w:tcW w:w="924" w:type="dxa"/>
            <w:vAlign w:val="center"/>
          </w:tcPr>
          <w:p>
            <w:pPr>
              <w:pStyle w:val="13"/>
            </w:pPr>
            <w:r>
              <w:t>0.60</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r>
              <w:t>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4"/>
            </w:pPr>
            <w:r>
              <w:t>新租赁办案和技术用房办案办公设备购置</w:t>
            </w:r>
          </w:p>
        </w:tc>
        <w:tc>
          <w:tcPr>
            <w:tcW w:w="924" w:type="dxa"/>
            <w:vAlign w:val="center"/>
          </w:tcPr>
          <w:p>
            <w:pPr>
              <w:pStyle w:val="13"/>
            </w:pPr>
            <w:r>
              <w:t>36.00</w:t>
            </w:r>
          </w:p>
        </w:tc>
        <w:tc>
          <w:tcPr>
            <w:tcW w:w="924" w:type="dxa"/>
            <w:vAlign w:val="center"/>
          </w:tcPr>
          <w:p>
            <w:pPr>
              <w:pStyle w:val="14"/>
            </w:pPr>
            <w:r>
              <w:t>文件柜</w:t>
            </w:r>
          </w:p>
        </w:tc>
        <w:tc>
          <w:tcPr>
            <w:tcW w:w="924" w:type="dxa"/>
            <w:vAlign w:val="center"/>
          </w:tcPr>
          <w:p>
            <w:pPr>
              <w:pStyle w:val="14"/>
            </w:pPr>
            <w:r>
              <w:t>A05010502</w:t>
            </w:r>
          </w:p>
        </w:tc>
        <w:tc>
          <w:tcPr>
            <w:tcW w:w="924" w:type="dxa"/>
            <w:vAlign w:val="center"/>
          </w:tcPr>
          <w:p>
            <w:pPr>
              <w:pStyle w:val="15"/>
            </w:pPr>
            <w:r>
              <w:t>个</w:t>
            </w:r>
          </w:p>
        </w:tc>
        <w:tc>
          <w:tcPr>
            <w:tcW w:w="924" w:type="dxa"/>
            <w:vAlign w:val="center"/>
          </w:tcPr>
          <w:p>
            <w:pPr>
              <w:pStyle w:val="13"/>
            </w:pPr>
            <w:r>
              <w:t>16</w:t>
            </w:r>
          </w:p>
        </w:tc>
        <w:tc>
          <w:tcPr>
            <w:tcW w:w="924" w:type="dxa"/>
            <w:vAlign w:val="center"/>
          </w:tcPr>
          <w:p>
            <w:pPr>
              <w:pStyle w:val="13"/>
            </w:pPr>
            <w:r>
              <w:t>0.10</w:t>
            </w:r>
          </w:p>
        </w:tc>
        <w:tc>
          <w:tcPr>
            <w:tcW w:w="924" w:type="dxa"/>
            <w:vAlign w:val="center"/>
          </w:tcPr>
          <w:p>
            <w:pPr>
              <w:pStyle w:val="13"/>
            </w:pPr>
            <w:r>
              <w:t>1.60</w:t>
            </w:r>
          </w:p>
        </w:tc>
        <w:tc>
          <w:tcPr>
            <w:tcW w:w="924" w:type="dxa"/>
            <w:vAlign w:val="center"/>
          </w:tcPr>
          <w:p>
            <w:pPr>
              <w:pStyle w:val="13"/>
            </w:pPr>
            <w:r>
              <w:t>1.60</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r>
              <w:t>1.60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4"/>
            </w:pPr>
            <w:r>
              <w:t>新租赁办案和技术用房办案办公设备购置</w:t>
            </w:r>
          </w:p>
        </w:tc>
        <w:tc>
          <w:tcPr>
            <w:tcW w:w="924" w:type="dxa"/>
            <w:vAlign w:val="center"/>
          </w:tcPr>
          <w:p>
            <w:pPr>
              <w:pStyle w:val="13"/>
            </w:pPr>
            <w:r>
              <w:t>36.00</w:t>
            </w:r>
          </w:p>
        </w:tc>
        <w:tc>
          <w:tcPr>
            <w:tcW w:w="924" w:type="dxa"/>
            <w:vAlign w:val="center"/>
          </w:tcPr>
          <w:p>
            <w:pPr>
              <w:pStyle w:val="14"/>
            </w:pPr>
            <w:r>
              <w:t>保密柜</w:t>
            </w:r>
          </w:p>
        </w:tc>
        <w:tc>
          <w:tcPr>
            <w:tcW w:w="924" w:type="dxa"/>
            <w:vAlign w:val="center"/>
          </w:tcPr>
          <w:p>
            <w:pPr>
              <w:pStyle w:val="14"/>
            </w:pPr>
            <w:r>
              <w:t>A05010504</w:t>
            </w:r>
          </w:p>
        </w:tc>
        <w:tc>
          <w:tcPr>
            <w:tcW w:w="924" w:type="dxa"/>
            <w:vAlign w:val="center"/>
          </w:tcPr>
          <w:p>
            <w:pPr>
              <w:pStyle w:val="15"/>
            </w:pPr>
            <w:r>
              <w:t>个</w:t>
            </w:r>
          </w:p>
        </w:tc>
        <w:tc>
          <w:tcPr>
            <w:tcW w:w="924" w:type="dxa"/>
            <w:vAlign w:val="center"/>
          </w:tcPr>
          <w:p>
            <w:pPr>
              <w:pStyle w:val="13"/>
            </w:pPr>
            <w:r>
              <w:t>16</w:t>
            </w:r>
          </w:p>
        </w:tc>
        <w:tc>
          <w:tcPr>
            <w:tcW w:w="924" w:type="dxa"/>
            <w:vAlign w:val="center"/>
          </w:tcPr>
          <w:p>
            <w:pPr>
              <w:pStyle w:val="13"/>
            </w:pPr>
            <w:r>
              <w:t>0.16</w:t>
            </w:r>
          </w:p>
        </w:tc>
        <w:tc>
          <w:tcPr>
            <w:tcW w:w="924" w:type="dxa"/>
            <w:vAlign w:val="center"/>
          </w:tcPr>
          <w:p>
            <w:pPr>
              <w:pStyle w:val="13"/>
            </w:pPr>
            <w:r>
              <w:t>2.56</w:t>
            </w:r>
          </w:p>
        </w:tc>
        <w:tc>
          <w:tcPr>
            <w:tcW w:w="924" w:type="dxa"/>
            <w:vAlign w:val="center"/>
          </w:tcPr>
          <w:p>
            <w:pPr>
              <w:pStyle w:val="13"/>
            </w:pPr>
            <w:r>
              <w:t>2.56</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r>
              <w:t>2.56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4"/>
            </w:pPr>
            <w:r>
              <w:t>新租赁办案和技术用房办案办公设备购置</w:t>
            </w:r>
          </w:p>
        </w:tc>
        <w:tc>
          <w:tcPr>
            <w:tcW w:w="924" w:type="dxa"/>
            <w:vAlign w:val="center"/>
          </w:tcPr>
          <w:p>
            <w:pPr>
              <w:pStyle w:val="13"/>
            </w:pPr>
            <w:r>
              <w:t>36.00</w:t>
            </w:r>
          </w:p>
        </w:tc>
        <w:tc>
          <w:tcPr>
            <w:tcW w:w="924" w:type="dxa"/>
            <w:vAlign w:val="center"/>
          </w:tcPr>
          <w:p>
            <w:pPr>
              <w:pStyle w:val="14"/>
            </w:pPr>
            <w:r>
              <w:t>组合家具</w:t>
            </w:r>
          </w:p>
        </w:tc>
        <w:tc>
          <w:tcPr>
            <w:tcW w:w="924" w:type="dxa"/>
            <w:vAlign w:val="center"/>
          </w:tcPr>
          <w:p>
            <w:pPr>
              <w:pStyle w:val="14"/>
            </w:pPr>
            <w:r>
              <w:t>A05010800</w:t>
            </w:r>
          </w:p>
        </w:tc>
        <w:tc>
          <w:tcPr>
            <w:tcW w:w="924" w:type="dxa"/>
            <w:vAlign w:val="center"/>
          </w:tcPr>
          <w:p>
            <w:pPr>
              <w:pStyle w:val="15"/>
            </w:pPr>
            <w:r>
              <w:t>套</w:t>
            </w:r>
          </w:p>
        </w:tc>
        <w:tc>
          <w:tcPr>
            <w:tcW w:w="924" w:type="dxa"/>
            <w:vAlign w:val="center"/>
          </w:tcPr>
          <w:p>
            <w:pPr>
              <w:pStyle w:val="13"/>
            </w:pPr>
            <w:r>
              <w:t>16</w:t>
            </w:r>
          </w:p>
        </w:tc>
        <w:tc>
          <w:tcPr>
            <w:tcW w:w="924" w:type="dxa"/>
            <w:vAlign w:val="center"/>
          </w:tcPr>
          <w:p>
            <w:pPr>
              <w:pStyle w:val="13"/>
            </w:pPr>
            <w:r>
              <w:t>0.25</w:t>
            </w:r>
          </w:p>
        </w:tc>
        <w:tc>
          <w:tcPr>
            <w:tcW w:w="924" w:type="dxa"/>
            <w:vAlign w:val="center"/>
          </w:tcPr>
          <w:p>
            <w:pPr>
              <w:pStyle w:val="13"/>
            </w:pPr>
            <w:r>
              <w:t>4.00</w:t>
            </w:r>
          </w:p>
        </w:tc>
        <w:tc>
          <w:tcPr>
            <w:tcW w:w="924" w:type="dxa"/>
            <w:vAlign w:val="center"/>
          </w:tcPr>
          <w:p>
            <w:pPr>
              <w:pStyle w:val="13"/>
            </w:pPr>
            <w:r>
              <w:t>4.00</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4"/>
            </w:pPr>
            <w:r>
              <w:t>信息化线路租赁费</w:t>
            </w:r>
          </w:p>
        </w:tc>
        <w:tc>
          <w:tcPr>
            <w:tcW w:w="924" w:type="dxa"/>
            <w:vAlign w:val="center"/>
          </w:tcPr>
          <w:p>
            <w:pPr>
              <w:pStyle w:val="13"/>
            </w:pPr>
            <w:r>
              <w:t>230.00</w:t>
            </w:r>
          </w:p>
        </w:tc>
        <w:tc>
          <w:tcPr>
            <w:tcW w:w="924" w:type="dxa"/>
            <w:vAlign w:val="center"/>
          </w:tcPr>
          <w:p>
            <w:pPr>
              <w:pStyle w:val="14"/>
            </w:pPr>
            <w:r>
              <w:t>其他运行维护服务</w:t>
            </w:r>
          </w:p>
        </w:tc>
        <w:tc>
          <w:tcPr>
            <w:tcW w:w="924" w:type="dxa"/>
            <w:vAlign w:val="center"/>
          </w:tcPr>
          <w:p>
            <w:pPr>
              <w:pStyle w:val="14"/>
            </w:pPr>
            <w:r>
              <w:t>C16079900</w:t>
            </w:r>
          </w:p>
        </w:tc>
        <w:tc>
          <w:tcPr>
            <w:tcW w:w="924" w:type="dxa"/>
            <w:vAlign w:val="center"/>
          </w:tcPr>
          <w:p>
            <w:pPr>
              <w:pStyle w:val="15"/>
            </w:pPr>
            <w:r>
              <w:t>次</w:t>
            </w:r>
          </w:p>
        </w:tc>
        <w:tc>
          <w:tcPr>
            <w:tcW w:w="924" w:type="dxa"/>
            <w:vAlign w:val="center"/>
          </w:tcPr>
          <w:p>
            <w:pPr>
              <w:pStyle w:val="13"/>
            </w:pPr>
            <w:r>
              <w:t>1</w:t>
            </w:r>
          </w:p>
        </w:tc>
        <w:tc>
          <w:tcPr>
            <w:tcW w:w="924" w:type="dxa"/>
            <w:vAlign w:val="center"/>
          </w:tcPr>
          <w:p>
            <w:pPr>
              <w:pStyle w:val="13"/>
            </w:pPr>
            <w:r>
              <w:t>135.00</w:t>
            </w:r>
          </w:p>
        </w:tc>
        <w:tc>
          <w:tcPr>
            <w:tcW w:w="924" w:type="dxa"/>
            <w:vAlign w:val="center"/>
          </w:tcPr>
          <w:p>
            <w:pPr>
              <w:pStyle w:val="13"/>
            </w:pPr>
            <w:r>
              <w:t>135.00</w:t>
            </w:r>
          </w:p>
        </w:tc>
        <w:tc>
          <w:tcPr>
            <w:tcW w:w="924" w:type="dxa"/>
            <w:vAlign w:val="center"/>
          </w:tcPr>
          <w:p>
            <w:pPr>
              <w:pStyle w:val="13"/>
            </w:pPr>
            <w:r>
              <w:t>135.00</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4"/>
            </w:pPr>
            <w:r>
              <w:t>信息化线路租赁费</w:t>
            </w:r>
          </w:p>
        </w:tc>
        <w:tc>
          <w:tcPr>
            <w:tcW w:w="924" w:type="dxa"/>
            <w:vAlign w:val="center"/>
          </w:tcPr>
          <w:p>
            <w:pPr>
              <w:pStyle w:val="13"/>
            </w:pPr>
            <w:r>
              <w:t>230.00</w:t>
            </w:r>
          </w:p>
        </w:tc>
        <w:tc>
          <w:tcPr>
            <w:tcW w:w="924" w:type="dxa"/>
            <w:vAlign w:val="center"/>
          </w:tcPr>
          <w:p>
            <w:pPr>
              <w:pStyle w:val="14"/>
            </w:pPr>
            <w:r>
              <w:t>其他租赁服务</w:t>
            </w:r>
          </w:p>
        </w:tc>
        <w:tc>
          <w:tcPr>
            <w:tcW w:w="924" w:type="dxa"/>
            <w:vAlign w:val="center"/>
          </w:tcPr>
          <w:p>
            <w:pPr>
              <w:pStyle w:val="14"/>
            </w:pPr>
            <w:r>
              <w:t>C23119900</w:t>
            </w:r>
          </w:p>
        </w:tc>
        <w:tc>
          <w:tcPr>
            <w:tcW w:w="924" w:type="dxa"/>
            <w:vAlign w:val="center"/>
          </w:tcPr>
          <w:p>
            <w:pPr>
              <w:pStyle w:val="15"/>
            </w:pPr>
            <w:r>
              <w:t xml:space="preserve"> 次</w:t>
            </w:r>
          </w:p>
        </w:tc>
        <w:tc>
          <w:tcPr>
            <w:tcW w:w="924" w:type="dxa"/>
            <w:vAlign w:val="center"/>
          </w:tcPr>
          <w:p>
            <w:pPr>
              <w:pStyle w:val="13"/>
            </w:pPr>
            <w:r>
              <w:t>1</w:t>
            </w:r>
          </w:p>
        </w:tc>
        <w:tc>
          <w:tcPr>
            <w:tcW w:w="924" w:type="dxa"/>
            <w:vAlign w:val="center"/>
          </w:tcPr>
          <w:p>
            <w:pPr>
              <w:pStyle w:val="13"/>
            </w:pPr>
            <w:r>
              <w:t>95.00</w:t>
            </w:r>
          </w:p>
        </w:tc>
        <w:tc>
          <w:tcPr>
            <w:tcW w:w="924" w:type="dxa"/>
            <w:vAlign w:val="center"/>
          </w:tcPr>
          <w:p>
            <w:pPr>
              <w:pStyle w:val="13"/>
            </w:pPr>
            <w:r>
              <w:t>95.00</w:t>
            </w:r>
          </w:p>
        </w:tc>
        <w:tc>
          <w:tcPr>
            <w:tcW w:w="924" w:type="dxa"/>
            <w:vAlign w:val="center"/>
          </w:tcPr>
          <w:p>
            <w:pPr>
              <w:pStyle w:val="13"/>
            </w:pPr>
            <w:r>
              <w:t>95.00</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4"/>
            </w:pPr>
            <w:r>
              <w:t>信息化运维费</w:t>
            </w:r>
          </w:p>
        </w:tc>
        <w:tc>
          <w:tcPr>
            <w:tcW w:w="924" w:type="dxa"/>
            <w:vAlign w:val="center"/>
          </w:tcPr>
          <w:p>
            <w:pPr>
              <w:pStyle w:val="13"/>
            </w:pPr>
            <w:r>
              <w:t>45.00</w:t>
            </w:r>
          </w:p>
        </w:tc>
        <w:tc>
          <w:tcPr>
            <w:tcW w:w="924" w:type="dxa"/>
            <w:vAlign w:val="center"/>
          </w:tcPr>
          <w:p>
            <w:pPr>
              <w:pStyle w:val="14"/>
            </w:pPr>
            <w:r>
              <w:t>软件运维服务</w:t>
            </w:r>
          </w:p>
        </w:tc>
        <w:tc>
          <w:tcPr>
            <w:tcW w:w="924" w:type="dxa"/>
            <w:vAlign w:val="center"/>
          </w:tcPr>
          <w:p>
            <w:pPr>
              <w:pStyle w:val="14"/>
            </w:pPr>
            <w:r>
              <w:t>C16070300</w:t>
            </w:r>
          </w:p>
        </w:tc>
        <w:tc>
          <w:tcPr>
            <w:tcW w:w="924" w:type="dxa"/>
            <w:vAlign w:val="center"/>
          </w:tcPr>
          <w:p>
            <w:pPr>
              <w:pStyle w:val="15"/>
            </w:pPr>
            <w:r>
              <w:t>年</w:t>
            </w:r>
          </w:p>
        </w:tc>
        <w:tc>
          <w:tcPr>
            <w:tcW w:w="924" w:type="dxa"/>
            <w:vAlign w:val="center"/>
          </w:tcPr>
          <w:p>
            <w:pPr>
              <w:pStyle w:val="13"/>
            </w:pPr>
            <w:r>
              <w:t>1</w:t>
            </w:r>
          </w:p>
        </w:tc>
        <w:tc>
          <w:tcPr>
            <w:tcW w:w="924" w:type="dxa"/>
            <w:vAlign w:val="center"/>
          </w:tcPr>
          <w:p>
            <w:pPr>
              <w:pStyle w:val="13"/>
            </w:pPr>
            <w:r>
              <w:t>45.00</w:t>
            </w:r>
          </w:p>
        </w:tc>
        <w:tc>
          <w:tcPr>
            <w:tcW w:w="924" w:type="dxa"/>
            <w:vAlign w:val="center"/>
          </w:tcPr>
          <w:p>
            <w:pPr>
              <w:pStyle w:val="13"/>
            </w:pPr>
            <w:r>
              <w:t>45.00</w:t>
            </w:r>
          </w:p>
        </w:tc>
        <w:tc>
          <w:tcPr>
            <w:tcW w:w="924" w:type="dxa"/>
            <w:vAlign w:val="center"/>
          </w:tcPr>
          <w:p>
            <w:pPr>
              <w:pStyle w:val="13"/>
            </w:pPr>
            <w:r>
              <w:t>45.00</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r>
              <w:t>45.00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4"/>
            </w:pPr>
            <w:r>
              <w:t>异地任职干部住房租赁</w:t>
            </w:r>
          </w:p>
        </w:tc>
        <w:tc>
          <w:tcPr>
            <w:tcW w:w="924" w:type="dxa"/>
            <w:vAlign w:val="center"/>
          </w:tcPr>
          <w:p>
            <w:pPr>
              <w:pStyle w:val="13"/>
            </w:pPr>
            <w:r>
              <w:t>49.00</w:t>
            </w:r>
          </w:p>
        </w:tc>
        <w:tc>
          <w:tcPr>
            <w:tcW w:w="924" w:type="dxa"/>
            <w:vAlign w:val="center"/>
          </w:tcPr>
          <w:p>
            <w:pPr>
              <w:pStyle w:val="14"/>
            </w:pPr>
            <w:r>
              <w:t>房屋租赁服务</w:t>
            </w:r>
          </w:p>
        </w:tc>
        <w:tc>
          <w:tcPr>
            <w:tcW w:w="924" w:type="dxa"/>
            <w:vAlign w:val="center"/>
          </w:tcPr>
          <w:p>
            <w:pPr>
              <w:pStyle w:val="14"/>
            </w:pPr>
            <w:r>
              <w:t>C21020000</w:t>
            </w:r>
          </w:p>
        </w:tc>
        <w:tc>
          <w:tcPr>
            <w:tcW w:w="924" w:type="dxa"/>
            <w:vAlign w:val="center"/>
          </w:tcPr>
          <w:p>
            <w:pPr>
              <w:pStyle w:val="15"/>
            </w:pPr>
            <w:r>
              <w:t>年</w:t>
            </w:r>
          </w:p>
        </w:tc>
        <w:tc>
          <w:tcPr>
            <w:tcW w:w="924" w:type="dxa"/>
            <w:vAlign w:val="center"/>
          </w:tcPr>
          <w:p>
            <w:pPr>
              <w:pStyle w:val="13"/>
            </w:pPr>
            <w:r>
              <w:t>1</w:t>
            </w:r>
          </w:p>
        </w:tc>
        <w:tc>
          <w:tcPr>
            <w:tcW w:w="924" w:type="dxa"/>
            <w:vAlign w:val="center"/>
          </w:tcPr>
          <w:p>
            <w:pPr>
              <w:pStyle w:val="13"/>
            </w:pPr>
            <w:r>
              <w:t>49.00</w:t>
            </w:r>
          </w:p>
        </w:tc>
        <w:tc>
          <w:tcPr>
            <w:tcW w:w="924" w:type="dxa"/>
            <w:vAlign w:val="center"/>
          </w:tcPr>
          <w:p>
            <w:pPr>
              <w:pStyle w:val="13"/>
            </w:pPr>
            <w:r>
              <w:t>49.00</w:t>
            </w:r>
          </w:p>
        </w:tc>
        <w:tc>
          <w:tcPr>
            <w:tcW w:w="924" w:type="dxa"/>
            <w:vAlign w:val="center"/>
          </w:tcPr>
          <w:p>
            <w:pPr>
              <w:pStyle w:val="13"/>
            </w:pPr>
            <w:r>
              <w:t>49.00</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4"/>
            </w:pPr>
            <w:r>
              <w:t>“雄安新区行政执法与刑事司法衔接工作“专项经费</w:t>
            </w:r>
          </w:p>
        </w:tc>
        <w:tc>
          <w:tcPr>
            <w:tcW w:w="924" w:type="dxa"/>
            <w:vAlign w:val="center"/>
          </w:tcPr>
          <w:p>
            <w:pPr>
              <w:pStyle w:val="13"/>
            </w:pPr>
            <w:r>
              <w:t>200.00</w:t>
            </w:r>
          </w:p>
        </w:tc>
        <w:tc>
          <w:tcPr>
            <w:tcW w:w="924" w:type="dxa"/>
            <w:vAlign w:val="center"/>
          </w:tcPr>
          <w:p>
            <w:pPr>
              <w:pStyle w:val="14"/>
            </w:pPr>
            <w:r>
              <w:t>软件运营服务</w:t>
            </w:r>
          </w:p>
        </w:tc>
        <w:tc>
          <w:tcPr>
            <w:tcW w:w="924" w:type="dxa"/>
            <w:vAlign w:val="center"/>
          </w:tcPr>
          <w:p>
            <w:pPr>
              <w:pStyle w:val="14"/>
            </w:pPr>
            <w:r>
              <w:t>C16080100</w:t>
            </w:r>
          </w:p>
        </w:tc>
        <w:tc>
          <w:tcPr>
            <w:tcW w:w="924" w:type="dxa"/>
            <w:vAlign w:val="center"/>
          </w:tcPr>
          <w:p>
            <w:pPr>
              <w:pStyle w:val="15"/>
            </w:pPr>
            <w:r>
              <w:t>年</w:t>
            </w:r>
          </w:p>
        </w:tc>
        <w:tc>
          <w:tcPr>
            <w:tcW w:w="924" w:type="dxa"/>
            <w:vAlign w:val="center"/>
          </w:tcPr>
          <w:p>
            <w:pPr>
              <w:pStyle w:val="13"/>
            </w:pPr>
            <w:r>
              <w:t>1</w:t>
            </w:r>
          </w:p>
        </w:tc>
        <w:tc>
          <w:tcPr>
            <w:tcW w:w="924" w:type="dxa"/>
            <w:vAlign w:val="center"/>
          </w:tcPr>
          <w:p>
            <w:pPr>
              <w:pStyle w:val="13"/>
            </w:pPr>
            <w:r>
              <w:t>200.00</w:t>
            </w:r>
          </w:p>
        </w:tc>
        <w:tc>
          <w:tcPr>
            <w:tcW w:w="924" w:type="dxa"/>
            <w:vAlign w:val="center"/>
          </w:tcPr>
          <w:p>
            <w:pPr>
              <w:pStyle w:val="13"/>
            </w:pPr>
            <w:r>
              <w:t>200.00</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r>
              <w:t>200.00</w:t>
            </w:r>
          </w:p>
        </w:tc>
        <w:tc>
          <w:tcPr>
            <w:tcW w:w="924" w:type="dxa"/>
            <w:vAlign w:val="center"/>
          </w:tcPr>
          <w:p>
            <w:pPr>
              <w:pStyle w:val="13"/>
            </w:pPr>
          </w:p>
        </w:tc>
        <w:tc>
          <w:tcPr>
            <w:tcW w:w="924" w:type="dxa"/>
            <w:vAlign w:val="center"/>
          </w:tcPr>
          <w:p>
            <w:pPr>
              <w:pStyle w:val="13"/>
            </w:pPr>
            <w:r>
              <w:t>200.00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5" w:name="_Toc_3_3_0000000016"/>
      <w:r>
        <w:rPr>
          <w:rFonts w:ascii="黑体" w:hAnsi="黑体" w:eastAsia="黑体" w:cs="黑体"/>
          <w:color w:val="000000"/>
          <w:sz w:val="32"/>
        </w:rPr>
        <w:t>七、国有资产信息</w:t>
      </w:r>
      <w:bookmarkEnd w:id="15"/>
    </w:p>
    <w:p>
      <w:pPr>
        <w:spacing w:before="0" w:after="0" w:line="500" w:lineRule="exact"/>
        <w:ind w:firstLine="560"/>
        <w:jc w:val="left"/>
        <w:outlineLvl w:val="9"/>
      </w:pPr>
      <w:r>
        <w:rPr>
          <w:rFonts w:ascii="Times New Roman" w:hAnsi="Times New Roman" w:eastAsia="方正仿宋_GBK" w:cs="Times New Roman"/>
          <w:b w:val="0"/>
          <w:color w:val="000000"/>
          <w:sz w:val="28"/>
        </w:rPr>
        <w:t>河北省人民检察院雄安新区分院（含所属单位）上年末固定资产金额为</w:t>
      </w:r>
      <w:r>
        <w:rPr>
          <w:rFonts w:hint="eastAsia" w:eastAsia="方正仿宋_GBK" w:cs="Times New Roman"/>
          <w:b w:val="0"/>
          <w:color w:val="000000"/>
          <w:sz w:val="28"/>
          <w:lang w:val="en-US" w:eastAsia="zh-CN"/>
        </w:rPr>
        <w:t>2394.30</w:t>
      </w:r>
      <w:r>
        <w:rPr>
          <w:rFonts w:ascii="Times New Roman" w:hAnsi="Times New Roman" w:eastAsia="方正仿宋_GBK" w:cs="Times New Roman"/>
          <w:b w:val="0"/>
          <w:color w:val="000000"/>
          <w:sz w:val="28"/>
        </w:rPr>
        <w:t>万元（详见下表）。本年度拟购置固定资产总额为</w:t>
      </w:r>
      <w:r>
        <w:rPr>
          <w:rFonts w:hint="eastAsia" w:eastAsia="方正仿宋_GBK" w:cs="Times New Roman"/>
          <w:b w:val="0"/>
          <w:color w:val="000000"/>
          <w:sz w:val="28"/>
          <w:lang w:val="en-US" w:eastAsia="zh-CN"/>
        </w:rPr>
        <w:t>470.80</w:t>
      </w:r>
      <w:r>
        <w:rPr>
          <w:rFonts w:ascii="Times New Roman" w:hAnsi="Times New Roman" w:eastAsia="方正仿宋_GBK" w:cs="Times New Roman"/>
          <w:b w:val="0"/>
          <w:color w:val="000000"/>
          <w:sz w:val="28"/>
        </w:rPr>
        <w:t>万元，已按要求列入政府采购预算，详见政府采购预算表。</w:t>
      </w:r>
    </w:p>
    <w:p>
      <w:pPr>
        <w:spacing w:before="0" w:after="0" w:line="240" w:lineRule="auto"/>
        <w:ind w:firstLine="0"/>
        <w:jc w:val="center"/>
        <w:outlineLvl w:val="9"/>
        <w:rPr>
          <w:rFonts w:ascii="方正小标宋_GBK" w:hAnsi="方正小标宋_GBK" w:eastAsia="方正小标宋_GBK" w:cs="方正小标宋_GBK"/>
          <w:color w:val="000000"/>
          <w:sz w:val="36"/>
        </w:rPr>
      </w:pPr>
    </w:p>
    <w:p>
      <w:pPr>
        <w:spacing w:before="0" w:after="0" w:line="240" w:lineRule="auto"/>
        <w:ind w:firstLine="0"/>
        <w:jc w:val="center"/>
        <w:outlineLvl w:val="9"/>
        <w:rPr>
          <w:rFonts w:ascii="方正小标宋_GBK" w:hAnsi="方正小标宋_GBK" w:eastAsia="方正小标宋_GBK" w:cs="方正小标宋_GBK"/>
          <w:color w:val="000000"/>
          <w:sz w:val="36"/>
        </w:rPr>
      </w:pP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6"/>
        <w:tblW w:w="1479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1"/>
            </w:pPr>
            <w:r>
              <w:t>404河北省人民检察院雄安新区分院</w:t>
            </w:r>
          </w:p>
        </w:tc>
        <w:tc>
          <w:tcPr>
            <w:tcW w:w="9866"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4933" w:type="dxa"/>
            <w:vAlign w:val="center"/>
          </w:tcPr>
          <w:p>
            <w:pPr>
              <w:pStyle w:val="12"/>
            </w:pPr>
            <w:r>
              <w:t>项   目</w:t>
            </w:r>
          </w:p>
        </w:tc>
        <w:tc>
          <w:tcPr>
            <w:tcW w:w="4933" w:type="dxa"/>
            <w:vAlign w:val="center"/>
          </w:tcPr>
          <w:p>
            <w:pPr>
              <w:pStyle w:val="12"/>
            </w:pPr>
            <w:r>
              <w:t>数量</w:t>
            </w:r>
          </w:p>
        </w:tc>
        <w:tc>
          <w:tcPr>
            <w:tcW w:w="4933"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4"/>
              <w:rPr>
                <w:rFonts w:hint="eastAsia" w:eastAsia="方正书宋_GBK"/>
                <w:lang w:eastAsia="zh-CN"/>
              </w:rPr>
            </w:pPr>
            <w:r>
              <w:rPr>
                <w:rFonts w:hint="eastAsia"/>
                <w:lang w:eastAsia="zh-CN"/>
              </w:rPr>
              <w:t>资产总额</w:t>
            </w:r>
          </w:p>
        </w:tc>
        <w:tc>
          <w:tcPr>
            <w:tcW w:w="4933" w:type="dxa"/>
            <w:vAlign w:val="center"/>
          </w:tcPr>
          <w:p>
            <w:pPr>
              <w:pStyle w:val="15"/>
            </w:pPr>
          </w:p>
        </w:tc>
        <w:tc>
          <w:tcPr>
            <w:tcW w:w="4933" w:type="dxa"/>
            <w:vAlign w:val="center"/>
          </w:tcPr>
          <w:p>
            <w:pPr>
              <w:pStyle w:val="13"/>
            </w:pPr>
            <w:r>
              <w:rPr>
                <w:rFonts w:hint="eastAsia"/>
              </w:rPr>
              <w:t>2394.30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4"/>
              <w:ind w:firstLine="0" w:firstLineChars="0"/>
              <w:rPr>
                <w:rFonts w:hint="eastAsia"/>
                <w:lang w:eastAsia="zh-CN"/>
              </w:rPr>
            </w:pPr>
            <w:r>
              <w:t>1、房屋（平方米）</w:t>
            </w:r>
          </w:p>
        </w:tc>
        <w:tc>
          <w:tcPr>
            <w:tcW w:w="4933" w:type="dxa"/>
            <w:vAlign w:val="center"/>
          </w:tcPr>
          <w:p>
            <w:pPr>
              <w:pStyle w:val="15"/>
            </w:pPr>
          </w:p>
        </w:tc>
        <w:tc>
          <w:tcPr>
            <w:tcW w:w="493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4"/>
              <w:ind w:firstLine="0" w:firstLineChars="0"/>
              <w:rPr>
                <w:rFonts w:hint="eastAsia"/>
                <w:lang w:eastAsia="zh-CN"/>
              </w:rPr>
            </w:pPr>
            <w:r>
              <w:t>　　其中：办公用房（平方米）</w:t>
            </w:r>
          </w:p>
        </w:tc>
        <w:tc>
          <w:tcPr>
            <w:tcW w:w="4933" w:type="dxa"/>
            <w:vAlign w:val="center"/>
          </w:tcPr>
          <w:p>
            <w:pPr>
              <w:pStyle w:val="15"/>
            </w:pPr>
          </w:p>
        </w:tc>
        <w:tc>
          <w:tcPr>
            <w:tcW w:w="493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4"/>
              <w:ind w:firstLine="0" w:firstLineChars="0"/>
            </w:pPr>
            <w:r>
              <w:t>2、车辆（台、辆）</w:t>
            </w:r>
          </w:p>
        </w:tc>
        <w:tc>
          <w:tcPr>
            <w:tcW w:w="4933" w:type="dxa"/>
            <w:vAlign w:val="center"/>
          </w:tcPr>
          <w:p>
            <w:pPr>
              <w:pStyle w:val="15"/>
              <w:rPr>
                <w:rFonts w:hint="eastAsia" w:eastAsia="方正书宋_GBK"/>
                <w:lang w:val="en-US" w:eastAsia="zh-CN"/>
              </w:rPr>
            </w:pPr>
            <w:r>
              <w:rPr>
                <w:rFonts w:hint="eastAsia"/>
                <w:lang w:val="en-US" w:eastAsia="zh-CN"/>
              </w:rPr>
              <w:t>7</w:t>
            </w:r>
          </w:p>
        </w:tc>
        <w:tc>
          <w:tcPr>
            <w:tcW w:w="4933" w:type="dxa"/>
            <w:vAlign w:val="center"/>
          </w:tcPr>
          <w:p>
            <w:pPr>
              <w:pStyle w:val="13"/>
              <w:rPr>
                <w:rFonts w:hint="default" w:eastAsia="方正书宋_GBK"/>
                <w:lang w:val="en-US" w:eastAsia="zh-CN"/>
              </w:rPr>
            </w:pPr>
            <w:r>
              <w:rPr>
                <w:rFonts w:hint="eastAsia"/>
                <w:lang w:val="en-US" w:eastAsia="zh-CN"/>
              </w:rPr>
              <w:t>226.44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4"/>
              <w:ind w:firstLine="0" w:firstLineChars="0"/>
            </w:pPr>
            <w:r>
              <w:t>3、单价在20万元以上的设备</w:t>
            </w:r>
          </w:p>
        </w:tc>
        <w:tc>
          <w:tcPr>
            <w:tcW w:w="4933" w:type="dxa"/>
            <w:vAlign w:val="center"/>
          </w:tcPr>
          <w:p>
            <w:pPr>
              <w:pStyle w:val="15"/>
            </w:pPr>
          </w:p>
        </w:tc>
        <w:tc>
          <w:tcPr>
            <w:tcW w:w="493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4"/>
              <w:ind w:firstLine="0" w:firstLineChars="0"/>
            </w:pPr>
            <w:r>
              <w:t>4、其他固定资产</w:t>
            </w:r>
          </w:p>
        </w:tc>
        <w:tc>
          <w:tcPr>
            <w:tcW w:w="4933" w:type="dxa"/>
            <w:vAlign w:val="center"/>
          </w:tcPr>
          <w:p>
            <w:pPr>
              <w:pStyle w:val="15"/>
              <w:rPr>
                <w:rFonts w:hint="default" w:eastAsia="方正书宋_GBK"/>
                <w:lang w:val="en-US" w:eastAsia="zh-CN"/>
              </w:rPr>
            </w:pPr>
            <w:r>
              <w:rPr>
                <w:rFonts w:hint="eastAsia"/>
                <w:lang w:val="en-US" w:eastAsia="zh-CN"/>
              </w:rPr>
              <w:t>715</w:t>
            </w:r>
          </w:p>
        </w:tc>
        <w:tc>
          <w:tcPr>
            <w:tcW w:w="4933" w:type="dxa"/>
            <w:vAlign w:val="center"/>
          </w:tcPr>
          <w:p>
            <w:pPr>
              <w:pStyle w:val="13"/>
              <w:rPr>
                <w:rFonts w:hint="default" w:eastAsia="方正书宋_GBK"/>
                <w:lang w:val="en-US" w:eastAsia="zh-CN"/>
              </w:rPr>
            </w:pPr>
            <w:r>
              <w:rPr>
                <w:rFonts w:hint="eastAsia"/>
                <w:lang w:val="en-US" w:eastAsia="zh-CN"/>
              </w:rPr>
              <w:t>2167.86</w:t>
            </w: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6" w:name="_Toc_3_3_0000000017"/>
      <w:r>
        <w:rPr>
          <w:rFonts w:ascii="黑体" w:hAnsi="黑体" w:eastAsia="黑体" w:cs="黑体"/>
          <w:color w:val="000000"/>
          <w:sz w:val="32"/>
        </w:rPr>
        <w:t>八、名词解释</w:t>
      </w:r>
      <w:bookmarkEnd w:id="16"/>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2"/>
      </w:pPr>
      <w:bookmarkStart w:id="17" w:name="_Toc_3_3_0000000018"/>
      <w:r>
        <w:rPr>
          <w:rFonts w:ascii="黑体" w:hAnsi="黑体" w:eastAsia="黑体" w:cs="黑体"/>
          <w:color w:val="000000"/>
          <w:sz w:val="32"/>
        </w:rPr>
        <w:t>九、其他需要说明的事项</w:t>
      </w:r>
      <w:bookmarkEnd w:id="17"/>
    </w:p>
    <w:p>
      <w:pPr>
        <w:spacing w:before="0" w:after="0" w:line="500" w:lineRule="exact"/>
        <w:ind w:firstLine="560"/>
        <w:jc w:val="left"/>
        <w:outlineLvl w:val="9"/>
        <w:rPr>
          <w:rFonts w:hint="eastAsia" w:eastAsia="方正仿宋_GBK"/>
          <w:lang w:eastAsia="zh-CN"/>
        </w:rPr>
        <w:sectPr>
          <w:pgSz w:w="16840" w:h="11900" w:orient="landscape"/>
          <w:pgMar w:top="1361" w:right="1020" w:bottom="1134" w:left="1020" w:header="720" w:footer="720" w:gutter="0"/>
        </w:sectPr>
      </w:pPr>
      <w:r>
        <w:rPr>
          <w:rFonts w:ascii="Times New Roman" w:hAnsi="Times New Roman" w:eastAsia="方正仿宋_GBK" w:cs="Times New Roman"/>
          <w:b w:val="0"/>
          <w:color w:val="000000"/>
          <w:sz w:val="28"/>
        </w:rPr>
        <w:t>我部门无其他需要说明的事项</w:t>
      </w:r>
      <w:r>
        <w:rPr>
          <w:rFonts w:hint="eastAsia" w:eastAsia="方正仿宋_GBK" w:cs="Times New Roman"/>
          <w:b w:val="0"/>
          <w:color w:val="000000"/>
          <w:sz w:val="28"/>
          <w:lang w:eastAsia="zh-CN"/>
        </w:rPr>
        <w:t>。</w:t>
      </w:r>
    </w:p>
    <w:p>
      <w:pPr>
        <w:spacing w:before="0" w:after="0" w:line="240" w:lineRule="auto"/>
        <w:ind w:firstLine="0"/>
        <w:jc w:val="both"/>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both"/>
        <w:outlineLvl w:val="9"/>
      </w:pPr>
      <w:r>
        <w:rPr>
          <w:rFonts w:ascii="方正小标宋_GBK" w:hAnsi="方正小标宋_GBK" w:eastAsia="方正小标宋_GBK" w:cs="方正小标宋_GBK"/>
          <w:color w:val="000000"/>
          <w:sz w:val="44"/>
        </w:rPr>
        <w:t xml:space="preserve"> </w:t>
      </w:r>
    </w:p>
    <w:sectPr>
      <w:pgSz w:w="16840" w:h="11900" w:orient="landscape"/>
      <w:pgMar w:top="1361" w:right="1020" w:bottom="1134" w:left="102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panose1 w:val="03000509000000000000"/>
    <w:charset w:val="86"/>
    <w:family w:val="auto"/>
    <w:pitch w:val="default"/>
    <w:sig w:usb0="00000001" w:usb1="080E0000" w:usb2="00000000" w:usb3="00000000" w:csb0="0004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EF311A"/>
    <w:rsid w:val="1D221FE3"/>
    <w:rsid w:val="20C95206"/>
    <w:rsid w:val="2E754BA5"/>
    <w:rsid w:val="50587ADF"/>
    <w:rsid w:val="52316BD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9" Type="http://schemas.openxmlformats.org/officeDocument/2006/relationships/fontTable" Target="fontTable.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2023-02-20T09:39:46Z</dcterms:created>
  <dcterms:modified xsi:type="dcterms:W3CDTF">2023-02-20T01:39:46Z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2023-02-20T09:39:46Z</dcterms:created>
  <dcterms:modified xsi:type="dcterms:W3CDTF">2023-02-20T01:39:46Z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2023-02-20T09:39:46Z</dcterms:created>
  <dcterms:modified xsi:type="dcterms:W3CDTF">2023-02-20T01:39:46Z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2023-02-20T09:39:46Z</dcterms:created>
  <dcterms:modified xsi:type="dcterms:W3CDTF">2023-02-20T01:39:46Z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2023-02-20T09:39:36Z</dcterms:created>
  <dcterms:modified xsi:type="dcterms:W3CDTF">2023-02-20T01:39:36Z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2023-02-20T09:39:36Z</dcterms:created>
  <dcterms:modified xsi:type="dcterms:W3CDTF">2023-02-20T01:39:36Z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2023-02-20T09:39:46Z</dcterms:created>
  <dcterms:modified xsi:type="dcterms:W3CDTF">2023-02-20T01:39:46Z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2023-02-20T09:39:46Z</dcterms:created>
  <dcterms:modified xsi:type="dcterms:W3CDTF">2023-02-20T01:39:46Z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2023-02-20T09:39:46Z</dcterms:created>
  <dcterms:modified xsi:type="dcterms:W3CDTF">2023-02-20T01:39:46Z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2023-02-20T09:39:45Z</dcterms:created>
  <dcterms:modified xsi:type="dcterms:W3CDTF">2023-02-20T01:39:45Z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2023-02-20T09:39:45Z</dcterms:created>
  <dcterms:modified xsi:type="dcterms:W3CDTF">2023-02-20T01:39:45Z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2023-02-20T09:39:45Z</dcterms:created>
  <dcterms:modified xsi:type="dcterms:W3CDTF">2023-02-20T01:39:45Z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2023-02-20T09:39:45Z</dcterms:created>
  <dcterms:modified xsi:type="dcterms:W3CDTF">2023-02-20T01:39:45Z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2023-02-20T09:39:45Z</dcterms:created>
  <dcterms:modified xsi:type="dcterms:W3CDTF">2023-02-20T01:39:45Z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2023-02-20T09:39:42Z</dcterms:created>
  <dcterms:modified xsi:type="dcterms:W3CDTF">2023-02-20T01:39:42Z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2023-02-20T09:39:38Z</dcterms:created>
  <dcterms:modified xsi:type="dcterms:W3CDTF">2023-02-20T01:39:38Z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2023-02-20T09:39:36Z</dcterms:created>
  <dcterms:modified xsi:type="dcterms:W3CDTF">2023-02-20T01:39:36Z</dcterms:modified>
</cp:core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2023-02-20T09:39:36Z</dcterms:created>
  <dcterms:modified xsi:type="dcterms:W3CDTF">2023-02-20T01:39:36Z</dcterms:modified>
</cp:core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2023-02-20T09:39:38Z</dcterms:created>
  <dcterms:modified xsi:type="dcterms:W3CDTF">2023-02-20T01:39:38Z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2023-02-20T09:39:37Z</dcterms:created>
  <dcterms:modified xsi:type="dcterms:W3CDTF">2023-02-20T01:39:37Z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2023-02-20T09:39:37Z</dcterms:created>
  <dcterms:modified xsi:type="dcterms:W3CDTF">2023-02-20T01:39:37Z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2023-02-20T09:39:37Z</dcterms:created>
  <dcterms:modified xsi:type="dcterms:W3CDTF">2023-02-20T01:39:37Z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2023-02-20T09:39:37Z</dcterms:created>
  <dcterms:modified xsi:type="dcterms:W3CDTF">2023-02-20T01:39:37Z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2023-02-20T09:39:37Z</dcterms:created>
  <dcterms:modified xsi:type="dcterms:W3CDTF">2023-02-20T01:39:37Z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2023-02-20T09:39:37Z</dcterms:created>
  <dcterms:modified xsi:type="dcterms:W3CDTF">2023-02-20T01:39:37Z</dcterms:modified>
</cp:core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2023-02-20T09:39:37Z</dcterms:created>
  <dcterms:modified xsi:type="dcterms:W3CDTF">2023-02-20T01:39:37Z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2023-02-20T09:39:36Z</dcterms:created>
  <dcterms:modified xsi:type="dcterms:W3CDTF">2023-02-20T01:39:36Z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2023-02-20T09:39:47Z</dcterms:created>
  <dcterms:modified xsi:type="dcterms:W3CDTF">2023-02-20T01:39:47Z</dcterms:modified>
</cp:core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2023-02-20T09:39:36Z</dcterms:created>
  <dcterms:modified xsi:type="dcterms:W3CDTF">2023-02-20T01:39:36Z</dcterms:modified>
</cp:core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2023-02-20T09:39:24Z</dcterms:created>
  <dcterms:modified xsi:type="dcterms:W3CDTF">2023-02-20T01:39:23Z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2023-02-20T09:39:46Z</dcterms:created>
  <dcterms:modified xsi:type="dcterms:W3CDTF">2023-02-20T01:39:46Z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7a3f4b79-db6d-4d46-94cb-f9e66fdd62fa}">
  <ds:schemaRefs/>
</ds:datastoreItem>
</file>

<file path=customXml/itemProps11.xml><?xml version="1.0" encoding="utf-8"?>
<ds:datastoreItem xmlns:ds="http://schemas.openxmlformats.org/officeDocument/2006/customXml" ds:itemID="{0585157c-7912-4764-b209-3558c7818cc6}">
  <ds:schemaRefs/>
</ds:datastoreItem>
</file>

<file path=customXml/itemProps12.xml><?xml version="1.0" encoding="utf-8"?>
<ds:datastoreItem xmlns:ds="http://schemas.openxmlformats.org/officeDocument/2006/customXml" ds:itemID="{13b26d6c-b78b-47d6-b8b7-7240b7b5584a}">
  <ds:schemaRefs/>
</ds:datastoreItem>
</file>

<file path=customXml/itemProps13.xml><?xml version="1.0" encoding="utf-8"?>
<ds:datastoreItem xmlns:ds="http://schemas.openxmlformats.org/officeDocument/2006/customXml" ds:itemID="{ece1df02-ab3f-4e60-b32e-5f102110d802}">
  <ds:schemaRefs/>
</ds:datastoreItem>
</file>

<file path=customXml/itemProps14.xml><?xml version="1.0" encoding="utf-8"?>
<ds:datastoreItem xmlns:ds="http://schemas.openxmlformats.org/officeDocument/2006/customXml" ds:itemID="{1eea040c-6dfd-4b13-a9ac-3ffc979c12f0}">
  <ds:schemaRefs/>
</ds:datastoreItem>
</file>

<file path=customXml/itemProps15.xml><?xml version="1.0" encoding="utf-8"?>
<ds:datastoreItem xmlns:ds="http://schemas.openxmlformats.org/officeDocument/2006/customXml" ds:itemID="{45657106-793c-4c5a-b9a3-2fe7b39e8ab1}">
  <ds:schemaRefs/>
</ds:datastoreItem>
</file>

<file path=customXml/itemProps16.xml><?xml version="1.0" encoding="utf-8"?>
<ds:datastoreItem xmlns:ds="http://schemas.openxmlformats.org/officeDocument/2006/customXml" ds:itemID="{8b81872a-eeef-44ad-868c-75db808cd4a6}">
  <ds:schemaRefs/>
</ds:datastoreItem>
</file>

<file path=customXml/itemProps17.xml><?xml version="1.0" encoding="utf-8"?>
<ds:datastoreItem xmlns:ds="http://schemas.openxmlformats.org/officeDocument/2006/customXml" ds:itemID="{9d5a93bc-77c2-471c-9624-deef3579f992}">
  <ds:schemaRefs/>
</ds:datastoreItem>
</file>

<file path=customXml/itemProps18.xml><?xml version="1.0" encoding="utf-8"?>
<ds:datastoreItem xmlns:ds="http://schemas.openxmlformats.org/officeDocument/2006/customXml" ds:itemID="{e94c1685-e320-430c-b176-fa3782cc41bb}">
  <ds:schemaRefs/>
</ds:datastoreItem>
</file>

<file path=customXml/itemProps19.xml><?xml version="1.0" encoding="utf-8"?>
<ds:datastoreItem xmlns:ds="http://schemas.openxmlformats.org/officeDocument/2006/customXml" ds:itemID="{37bb9be9-55c0-491b-9dc1-2d3104a467ba}">
  <ds:schemaRefs/>
</ds:datastoreItem>
</file>

<file path=customXml/itemProps2.xml><?xml version="1.0" encoding="utf-8"?>
<ds:datastoreItem xmlns:ds="http://schemas.openxmlformats.org/officeDocument/2006/customXml" ds:itemID="{cfdb01d1-5b8b-4154-b22f-f5efaebfe506}">
  <ds:schemaRefs/>
</ds:datastoreItem>
</file>

<file path=customXml/itemProps20.xml><?xml version="1.0" encoding="utf-8"?>
<ds:datastoreItem xmlns:ds="http://schemas.openxmlformats.org/officeDocument/2006/customXml" ds:itemID="{f6271374-eb02-4916-b874-64b8872a4de9}">
  <ds:schemaRefs/>
</ds:datastoreItem>
</file>

<file path=customXml/itemProps21.xml><?xml version="1.0" encoding="utf-8"?>
<ds:datastoreItem xmlns:ds="http://schemas.openxmlformats.org/officeDocument/2006/customXml" ds:itemID="{328bdf88-5bf5-440d-82d7-204fc1013abe}">
  <ds:schemaRefs/>
</ds:datastoreItem>
</file>

<file path=customXml/itemProps22.xml><?xml version="1.0" encoding="utf-8"?>
<ds:datastoreItem xmlns:ds="http://schemas.openxmlformats.org/officeDocument/2006/customXml" ds:itemID="{8bfcd24a-43d9-4ae7-aadb-98f4747aa4f2}">
  <ds:schemaRefs/>
</ds:datastoreItem>
</file>

<file path=customXml/itemProps23.xml><?xml version="1.0" encoding="utf-8"?>
<ds:datastoreItem xmlns:ds="http://schemas.openxmlformats.org/officeDocument/2006/customXml" ds:itemID="{c3c229dd-ddc9-4f90-b3c3-110da727440c}">
  <ds:schemaRefs/>
</ds:datastoreItem>
</file>

<file path=customXml/itemProps24.xml><?xml version="1.0" encoding="utf-8"?>
<ds:datastoreItem xmlns:ds="http://schemas.openxmlformats.org/officeDocument/2006/customXml" ds:itemID="{b59c6442-d655-413e-b485-773885317f2e}">
  <ds:schemaRefs/>
</ds:datastoreItem>
</file>

<file path=customXml/itemProps25.xml><?xml version="1.0" encoding="utf-8"?>
<ds:datastoreItem xmlns:ds="http://schemas.openxmlformats.org/officeDocument/2006/customXml" ds:itemID="{44fea3ac-30bd-4b11-ad8c-e74732df5cc2}">
  <ds:schemaRefs/>
</ds:datastoreItem>
</file>

<file path=customXml/itemProps26.xml><?xml version="1.0" encoding="utf-8"?>
<ds:datastoreItem xmlns:ds="http://schemas.openxmlformats.org/officeDocument/2006/customXml" ds:itemID="{bb677e05-01fc-426b-8748-da1cb2af8601}">
  <ds:schemaRefs/>
</ds:datastoreItem>
</file>

<file path=customXml/itemProps27.xml><?xml version="1.0" encoding="utf-8"?>
<ds:datastoreItem xmlns:ds="http://schemas.openxmlformats.org/officeDocument/2006/customXml" ds:itemID="{8ed765c2-a17c-44c3-a242-dbdbefd7124a}">
  <ds:schemaRefs/>
</ds:datastoreItem>
</file>

<file path=customXml/itemProps28.xml><?xml version="1.0" encoding="utf-8"?>
<ds:datastoreItem xmlns:ds="http://schemas.openxmlformats.org/officeDocument/2006/customXml" ds:itemID="{891565d3-4ce9-44ce-baef-42a3593d34e9}">
  <ds:schemaRefs/>
</ds:datastoreItem>
</file>

<file path=customXml/itemProps29.xml><?xml version="1.0" encoding="utf-8"?>
<ds:datastoreItem xmlns:ds="http://schemas.openxmlformats.org/officeDocument/2006/customXml" ds:itemID="{3dba378c-69fb-46df-b77d-7fd0345b19d4}">
  <ds:schemaRefs/>
</ds:datastoreItem>
</file>

<file path=customXml/itemProps3.xml><?xml version="1.0" encoding="utf-8"?>
<ds:datastoreItem xmlns:ds="http://schemas.openxmlformats.org/officeDocument/2006/customXml" ds:itemID="{6e6b3e24-111e-497d-aef8-2d29c3b98259}">
  <ds:schemaRefs/>
</ds:datastoreItem>
</file>

<file path=customXml/itemProps30.xml><?xml version="1.0" encoding="utf-8"?>
<ds:datastoreItem xmlns:ds="http://schemas.openxmlformats.org/officeDocument/2006/customXml" ds:itemID="{a37fcb0a-d9c9-4267-9785-8619c033c50a}">
  <ds:schemaRefs/>
</ds:datastoreItem>
</file>

<file path=customXml/itemProps31.xml><?xml version="1.0" encoding="utf-8"?>
<ds:datastoreItem xmlns:ds="http://schemas.openxmlformats.org/officeDocument/2006/customXml" ds:itemID="{de58a9ee-773b-4593-aec5-1da570fede82}">
  <ds:schemaRefs/>
</ds:datastoreItem>
</file>

<file path=customXml/itemProps32.xml><?xml version="1.0" encoding="utf-8"?>
<ds:datastoreItem xmlns:ds="http://schemas.openxmlformats.org/officeDocument/2006/customXml" ds:itemID="{adee4cc5-1828-487b-8249-ffe96ec2c1f0}">
  <ds:schemaRefs/>
</ds:datastoreItem>
</file>

<file path=customXml/itemProps33.xml><?xml version="1.0" encoding="utf-8"?>
<ds:datastoreItem xmlns:ds="http://schemas.openxmlformats.org/officeDocument/2006/customXml" ds:itemID="{a54e7d6b-b2ce-4714-9459-abc0ea2e6c84}">
  <ds:schemaRefs/>
</ds:datastoreItem>
</file>

<file path=customXml/itemProps34.xml><?xml version="1.0" encoding="utf-8"?>
<ds:datastoreItem xmlns:ds="http://schemas.openxmlformats.org/officeDocument/2006/customXml" ds:itemID="{b1fdd881-b68b-420a-a0f0-8ae1923482db}">
  <ds:schemaRefs/>
</ds:datastoreItem>
</file>

<file path=customXml/itemProps35.xml><?xml version="1.0" encoding="utf-8"?>
<ds:datastoreItem xmlns:ds="http://schemas.openxmlformats.org/officeDocument/2006/customXml" ds:itemID="{f7190969-d77e-400f-a23b-d80e7f13366a}">
  <ds:schemaRefs/>
</ds:datastoreItem>
</file>

<file path=customXml/itemProps36.xml><?xml version="1.0" encoding="utf-8"?>
<ds:datastoreItem xmlns:ds="http://schemas.openxmlformats.org/officeDocument/2006/customXml" ds:itemID="{a00bea8e-29ea-408a-b484-b64a5aa92ec9}">
  <ds:schemaRefs/>
</ds:datastoreItem>
</file>

<file path=customXml/itemProps37.xml><?xml version="1.0" encoding="utf-8"?>
<ds:datastoreItem xmlns:ds="http://schemas.openxmlformats.org/officeDocument/2006/customXml" ds:itemID="{2547026e-8ea6-404d-ac2a-35b414f1c374}">
  <ds:schemaRefs/>
</ds:datastoreItem>
</file>

<file path=customXml/itemProps38.xml><?xml version="1.0" encoding="utf-8"?>
<ds:datastoreItem xmlns:ds="http://schemas.openxmlformats.org/officeDocument/2006/customXml" ds:itemID="{e3beb169-6068-48bf-98f5-c9cb9ac1b03c}">
  <ds:schemaRefs/>
</ds:datastoreItem>
</file>

<file path=customXml/itemProps39.xml><?xml version="1.0" encoding="utf-8"?>
<ds:datastoreItem xmlns:ds="http://schemas.openxmlformats.org/officeDocument/2006/customXml" ds:itemID="{91967d1b-81f9-4abb-b125-715462cf54a8}">
  <ds:schemaRefs/>
</ds:datastoreItem>
</file>

<file path=customXml/itemProps4.xml><?xml version="1.0" encoding="utf-8"?>
<ds:datastoreItem xmlns:ds="http://schemas.openxmlformats.org/officeDocument/2006/customXml" ds:itemID="{2f3a2cbe-2285-4696-b85c-f942d0516738}">
  <ds:schemaRefs/>
</ds:datastoreItem>
</file>

<file path=customXml/itemProps40.xml><?xml version="1.0" encoding="utf-8"?>
<ds:datastoreItem xmlns:ds="http://schemas.openxmlformats.org/officeDocument/2006/customXml" ds:itemID="{15c1650f-87de-402d-a202-0008017f0496}">
  <ds:schemaRefs/>
</ds:datastoreItem>
</file>

<file path=customXml/itemProps41.xml><?xml version="1.0" encoding="utf-8"?>
<ds:datastoreItem xmlns:ds="http://schemas.openxmlformats.org/officeDocument/2006/customXml" ds:itemID="{64d06ef5-fa2d-4a95-afaa-af803fca6419}">
  <ds:schemaRefs/>
</ds:datastoreItem>
</file>

<file path=customXml/itemProps42.xml><?xml version="1.0" encoding="utf-8"?>
<ds:datastoreItem xmlns:ds="http://schemas.openxmlformats.org/officeDocument/2006/customXml" ds:itemID="{2444a13c-161e-41ea-aa58-c10b537f1a70}">
  <ds:schemaRefs/>
</ds:datastoreItem>
</file>

<file path=customXml/itemProps43.xml><?xml version="1.0" encoding="utf-8"?>
<ds:datastoreItem xmlns:ds="http://schemas.openxmlformats.org/officeDocument/2006/customXml" ds:itemID="{34ee131a-86d5-4d75-a7d0-5cca622d1273}">
  <ds:schemaRefs/>
</ds:datastoreItem>
</file>

<file path=customXml/itemProps44.xml><?xml version="1.0" encoding="utf-8"?>
<ds:datastoreItem xmlns:ds="http://schemas.openxmlformats.org/officeDocument/2006/customXml" ds:itemID="{1ba17249-74dd-4998-9925-28461640ef92}">
  <ds:schemaRefs/>
</ds:datastoreItem>
</file>

<file path=customXml/itemProps45.xml><?xml version="1.0" encoding="utf-8"?>
<ds:datastoreItem xmlns:ds="http://schemas.openxmlformats.org/officeDocument/2006/customXml" ds:itemID="{6b97dd10-e070-460a-af7f-50791821f590}">
  <ds:schemaRefs/>
</ds:datastoreItem>
</file>

<file path=customXml/itemProps46.xml><?xml version="1.0" encoding="utf-8"?>
<ds:datastoreItem xmlns:ds="http://schemas.openxmlformats.org/officeDocument/2006/customXml" ds:itemID="{e559c9aa-b0c9-4996-bedc-8d8367084c22}">
  <ds:schemaRefs/>
</ds:datastoreItem>
</file>

<file path=customXml/itemProps47.xml><?xml version="1.0" encoding="utf-8"?>
<ds:datastoreItem xmlns:ds="http://schemas.openxmlformats.org/officeDocument/2006/customXml" ds:itemID="{d949b988-cf06-40d8-a3e1-66c0c2a3d9bf}">
  <ds:schemaRefs/>
</ds:datastoreItem>
</file>

<file path=customXml/itemProps48.xml><?xml version="1.0" encoding="utf-8"?>
<ds:datastoreItem xmlns:ds="http://schemas.openxmlformats.org/officeDocument/2006/customXml" ds:itemID="{b8f34108-41e7-4c73-bb71-3dd790a703fa}">
  <ds:schemaRefs/>
</ds:datastoreItem>
</file>

<file path=customXml/itemProps49.xml><?xml version="1.0" encoding="utf-8"?>
<ds:datastoreItem xmlns:ds="http://schemas.openxmlformats.org/officeDocument/2006/customXml" ds:itemID="{a9969520-33d3-41f7-8260-14f4f1c52f9f}">
  <ds:schemaRefs/>
</ds:datastoreItem>
</file>

<file path=customXml/itemProps5.xml><?xml version="1.0" encoding="utf-8"?>
<ds:datastoreItem xmlns:ds="http://schemas.openxmlformats.org/officeDocument/2006/customXml" ds:itemID="{c38b291c-fd36-48f9-b339-6e44ce74e414}">
  <ds:schemaRefs/>
</ds:datastoreItem>
</file>

<file path=customXml/itemProps50.xml><?xml version="1.0" encoding="utf-8"?>
<ds:datastoreItem xmlns:ds="http://schemas.openxmlformats.org/officeDocument/2006/customXml" ds:itemID="{537f3b30-81a1-4fd8-93b7-4b77436867b4}">
  <ds:schemaRefs/>
</ds:datastoreItem>
</file>

<file path=customXml/itemProps51.xml><?xml version="1.0" encoding="utf-8"?>
<ds:datastoreItem xmlns:ds="http://schemas.openxmlformats.org/officeDocument/2006/customXml" ds:itemID="{ec56be3a-f640-4e56-8e19-4a4a832cc154}">
  <ds:schemaRefs/>
</ds:datastoreItem>
</file>

<file path=customXml/itemProps52.xml><?xml version="1.0" encoding="utf-8"?>
<ds:datastoreItem xmlns:ds="http://schemas.openxmlformats.org/officeDocument/2006/customXml" ds:itemID="{1be5cf40-f5c5-4ccc-9c36-511fd86ef62f}">
  <ds:schemaRefs/>
</ds:datastoreItem>
</file>

<file path=customXml/itemProps53.xml><?xml version="1.0" encoding="utf-8"?>
<ds:datastoreItem xmlns:ds="http://schemas.openxmlformats.org/officeDocument/2006/customXml" ds:itemID="{55cc15f2-232d-47f8-8071-373520129586}">
  <ds:schemaRefs/>
</ds:datastoreItem>
</file>

<file path=customXml/itemProps54.xml><?xml version="1.0" encoding="utf-8"?>
<ds:datastoreItem xmlns:ds="http://schemas.openxmlformats.org/officeDocument/2006/customXml" ds:itemID="{9d56b2a2-df4c-483f-8aa7-793585e44563}">
  <ds:schemaRefs/>
</ds:datastoreItem>
</file>

<file path=customXml/itemProps55.xml><?xml version="1.0" encoding="utf-8"?>
<ds:datastoreItem xmlns:ds="http://schemas.openxmlformats.org/officeDocument/2006/customXml" ds:itemID="{72fc4144-2b44-4761-811e-78aea4eb16a1}">
  <ds:schemaRefs/>
</ds:datastoreItem>
</file>

<file path=customXml/itemProps56.xml><?xml version="1.0" encoding="utf-8"?>
<ds:datastoreItem xmlns:ds="http://schemas.openxmlformats.org/officeDocument/2006/customXml" ds:itemID="{9331dc29-35f1-4e9a-92e0-ce945d04805d}">
  <ds:schemaRefs/>
</ds:datastoreItem>
</file>

<file path=customXml/itemProps57.xml><?xml version="1.0" encoding="utf-8"?>
<ds:datastoreItem xmlns:ds="http://schemas.openxmlformats.org/officeDocument/2006/customXml" ds:itemID="{3c0b480f-16b4-4618-81ac-ce9038527cbf}">
  <ds:schemaRefs/>
</ds:datastoreItem>
</file>

<file path=customXml/itemProps58.xml><?xml version="1.0" encoding="utf-8"?>
<ds:datastoreItem xmlns:ds="http://schemas.openxmlformats.org/officeDocument/2006/customXml" ds:itemID="{b89c87ff-8359-4dea-9adf-3ae54f54373a}">
  <ds:schemaRefs/>
</ds:datastoreItem>
</file>

<file path=customXml/itemProps59.xml><?xml version="1.0" encoding="utf-8"?>
<ds:datastoreItem xmlns:ds="http://schemas.openxmlformats.org/officeDocument/2006/customXml" ds:itemID="{e0168f3d-7603-42b9-af17-dcd5fd45c721}">
  <ds:schemaRefs/>
</ds:datastoreItem>
</file>

<file path=customXml/itemProps6.xml><?xml version="1.0" encoding="utf-8"?>
<ds:datastoreItem xmlns:ds="http://schemas.openxmlformats.org/officeDocument/2006/customXml" ds:itemID="{3460ecea-a0c8-4f31-9ba9-908e4643f59c}">
  <ds:schemaRefs/>
</ds:datastoreItem>
</file>

<file path=customXml/itemProps60.xml><?xml version="1.0" encoding="utf-8"?>
<ds:datastoreItem xmlns:ds="http://schemas.openxmlformats.org/officeDocument/2006/customXml" ds:itemID="{2c533e60-db56-4ac7-a9ed-8f7096d1d043}">
  <ds:schemaRefs/>
</ds:datastoreItem>
</file>

<file path=customXml/itemProps61.xml><?xml version="1.0" encoding="utf-8"?>
<ds:datastoreItem xmlns:ds="http://schemas.openxmlformats.org/officeDocument/2006/customXml" ds:itemID="{8ec38d87-bc5b-4273-bac8-6c5fd4bd36f2}">
  <ds:schemaRefs/>
</ds:datastoreItem>
</file>

<file path=customXml/itemProps62.xml><?xml version="1.0" encoding="utf-8"?>
<ds:datastoreItem xmlns:ds="http://schemas.openxmlformats.org/officeDocument/2006/customXml" ds:itemID="{6999e0b7-3f70-49a0-ac93-291cad7afd08}">
  <ds:schemaRefs/>
</ds:datastoreItem>
</file>

<file path=customXml/itemProps63.xml><?xml version="1.0" encoding="utf-8"?>
<ds:datastoreItem xmlns:ds="http://schemas.openxmlformats.org/officeDocument/2006/customXml" ds:itemID="{1acebe1a-c70a-4055-8639-70241902cdb1}">
  <ds:schemaRefs/>
</ds:datastoreItem>
</file>

<file path=customXml/itemProps7.xml><?xml version="1.0" encoding="utf-8"?>
<ds:datastoreItem xmlns:ds="http://schemas.openxmlformats.org/officeDocument/2006/customXml" ds:itemID="{04fe17a9-942f-424e-8d09-b5d7cc77eb8e}">
  <ds:schemaRefs/>
</ds:datastoreItem>
</file>

<file path=customXml/itemProps8.xml><?xml version="1.0" encoding="utf-8"?>
<ds:datastoreItem xmlns:ds="http://schemas.openxmlformats.org/officeDocument/2006/customXml" ds:itemID="{0702f379-43c5-456b-acbc-b94b2a65887b}">
  <ds:schemaRefs/>
</ds:datastoreItem>
</file>

<file path=customXml/itemProps9.xml><?xml version="1.0" encoding="utf-8"?>
<ds:datastoreItem xmlns:ds="http://schemas.openxmlformats.org/officeDocument/2006/customXml" ds:itemID="{d0f05787-5697-4cba-a213-66025c5421f6}">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Office_11.1.0.8567_F1E327BC-269C-435d-A152-05C5408002CA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2023-02-20T09:39:00Z</dcterms:created>
  <dc:creator>lenovo</dc:creator>
  <cp:lastModifiedBy>lenovo</cp:lastModifiedBy>
  <dcterms:modified xsi:type="dcterms:W3CDTF">2023-02-24T03:25:49Z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2052-11.1.0.8567</vt:lpwstr>
  </property>
</Properties>
</file>